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B6D0E" w:rsidR="0084255A" w:rsidP="00850E12" w:rsidRDefault="0084255A" w14:paraId="5D5431A3" w14:textId="0D820A11">
      <w:pPr>
        <w:tabs>
          <w:tab w:val="right" w:pos="9781"/>
          <w:tab w:val="right" w:pos="13323"/>
        </w:tabs>
        <w:spacing w:before="60" w:after="60"/>
        <w:jc w:val="both"/>
        <w:outlineLvl w:val="0"/>
        <w:rPr>
          <w:rFonts w:ascii="Arial" w:hAnsi="Arial" w:cs="Arial"/>
          <w:b/>
          <w:sz w:val="24"/>
          <w:szCs w:val="24"/>
        </w:rPr>
      </w:pPr>
      <w:bookmarkStart w:name="DocumentFor" w:id="0"/>
      <w:bookmarkStart w:name="Title" w:id="1"/>
      <w:bookmarkEnd w:id="0"/>
      <w:bookmarkEnd w:id="1"/>
      <w:r w:rsidRPr="005B6D0E">
        <w:rPr>
          <w:rFonts w:ascii="Arial" w:hAnsi="Arial" w:cs="Arial"/>
          <w:b/>
          <w:sz w:val="24"/>
          <w:szCs w:val="24"/>
          <w:lang w:val="en-US"/>
        </w:rPr>
        <w:t>3GPP TSG-RAN WG4 Meeting #11</w:t>
      </w:r>
      <w:r w:rsidR="008F5BC4">
        <w:rPr>
          <w:rFonts w:ascii="Arial" w:hAnsi="Arial" w:cs="Arial"/>
          <w:b/>
          <w:sz w:val="24"/>
          <w:szCs w:val="24"/>
          <w:lang w:val="en-US"/>
        </w:rPr>
        <w:t>5</w:t>
      </w:r>
      <w:r w:rsidRPr="005B6D0E">
        <w:rPr>
          <w:rFonts w:ascii="Arial" w:hAnsi="Arial" w:cs="Arial"/>
          <w:b/>
          <w:sz w:val="24"/>
          <w:szCs w:val="24"/>
          <w:lang w:val="en-US"/>
        </w:rPr>
        <w:t xml:space="preserve"> </w:t>
      </w:r>
      <w:r w:rsidR="00850E12">
        <w:rPr>
          <w:rFonts w:ascii="Arial" w:hAnsi="Arial" w:cs="Arial"/>
          <w:b/>
          <w:sz w:val="24"/>
          <w:szCs w:val="24"/>
        </w:rPr>
        <w:t xml:space="preserve">         </w:t>
      </w:r>
      <w:r w:rsidRPr="005B6D0E">
        <w:rPr>
          <w:rFonts w:ascii="Arial" w:hAnsi="Arial" w:cs="Arial"/>
          <w:b/>
          <w:sz w:val="24"/>
          <w:szCs w:val="24"/>
        </w:rPr>
        <w:t xml:space="preserve"> </w:t>
      </w:r>
      <w:r w:rsidR="00850E12">
        <w:rPr>
          <w:rFonts w:ascii="Arial" w:hAnsi="Arial" w:cs="Arial"/>
          <w:b/>
          <w:sz w:val="24"/>
          <w:szCs w:val="24"/>
        </w:rPr>
        <w:t xml:space="preserve">                                       </w:t>
      </w:r>
      <w:r w:rsidR="00EA2408">
        <w:rPr>
          <w:rFonts w:ascii="Arial" w:hAnsi="Arial" w:cs="Arial"/>
          <w:b/>
          <w:sz w:val="24"/>
          <w:szCs w:val="24"/>
        </w:rPr>
        <w:t xml:space="preserve">            </w:t>
      </w:r>
      <w:r w:rsidRPr="00850E12" w:rsidR="00850E12">
        <w:rPr>
          <w:rFonts w:ascii="Arial" w:hAnsi="Arial" w:cs="Arial"/>
          <w:b/>
          <w:sz w:val="24"/>
          <w:szCs w:val="24"/>
        </w:rPr>
        <w:t>R4-2505469</w:t>
      </w:r>
      <w:r w:rsidRPr="00850E12" w:rsidR="00850E12">
        <w:rPr>
          <w:rFonts w:ascii="Arial" w:hAnsi="Arial" w:cs="Arial"/>
          <w:b/>
          <w:sz w:val="24"/>
          <w:szCs w:val="24"/>
        </w:rPr>
        <w:tab/>
      </w:r>
    </w:p>
    <w:p w:rsidRPr="005B6D0E" w:rsidR="005B6D0E" w:rsidP="005B6D0E" w:rsidRDefault="005B6D0E" w14:paraId="6286E94D" w14:textId="77777777">
      <w:pPr>
        <w:ind w:left="1988" w:hanging="1988"/>
        <w:jc w:val="both"/>
        <w:rPr>
          <w:rFonts w:ascii="Arial" w:hAnsi="Arial" w:cs="Arial"/>
          <w:b/>
          <w:bCs/>
          <w:sz w:val="24"/>
          <w:szCs w:val="24"/>
          <w:lang w:val="en-US"/>
        </w:rPr>
      </w:pPr>
      <w:bookmarkStart w:name="_Int_YHb2utdy" w:id="2"/>
      <w:bookmarkStart w:name="_Int_y82Ws820" w:id="3"/>
      <w:bookmarkStart w:name="_Hlk196232482" w:id="4"/>
      <w:r w:rsidRPr="005B6D0E">
        <w:rPr>
          <w:rFonts w:ascii="Arial" w:hAnsi="Arial" w:cs="Arial"/>
          <w:b/>
          <w:bCs/>
          <w:sz w:val="24"/>
          <w:szCs w:val="24"/>
          <w:lang w:val="en-US"/>
        </w:rPr>
        <w:t>Malta, MT, 19th – 23rd May, 2025</w:t>
      </w:r>
      <w:bookmarkEnd w:id="2"/>
    </w:p>
    <w:bookmarkEnd w:id="3"/>
    <w:bookmarkEnd w:id="4"/>
    <w:p w:rsidRPr="005B6D0E" w:rsidR="00827396" w:rsidP="50C3DF1F" w:rsidRDefault="00827396" w14:paraId="64AEA4CF" w14:textId="255ADCFF">
      <w:pPr>
        <w:ind w:left="1988" w:hanging="1988"/>
        <w:jc w:val="both"/>
        <w:rPr>
          <w:rFonts w:ascii="Arial" w:hAnsi="Arial" w:cs="Arial"/>
          <w:b/>
          <w:bCs/>
          <w:sz w:val="22"/>
          <w:szCs w:val="22"/>
          <w:lang w:val="en-US"/>
        </w:rPr>
      </w:pPr>
    </w:p>
    <w:p w:rsidRPr="005B6D0E" w:rsidR="00420620" w:rsidP="001C37D1" w:rsidRDefault="00420620" w14:paraId="506B654E" w14:textId="6F120A42">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Source:                </w:t>
      </w:r>
      <w:r w:rsidRPr="005B6D0E">
        <w:rPr>
          <w:rFonts w:ascii="Arial" w:hAnsi="Arial" w:cs="Arial"/>
          <w:bCs/>
          <w:sz w:val="24"/>
          <w:lang w:val="en-US"/>
        </w:rPr>
        <w:t>Tejas Networks Pvt. Ltd.</w:t>
      </w:r>
    </w:p>
    <w:p w:rsidRPr="005B6D0E" w:rsidR="00847D95" w:rsidP="00847D95" w:rsidRDefault="00847D95" w14:paraId="536F73FA" w14:textId="3780E7DE">
      <w:pPr>
        <w:spacing w:line="360" w:lineRule="auto"/>
        <w:ind w:left="1988" w:hanging="1988"/>
        <w:jc w:val="both"/>
        <w:rPr>
          <w:rFonts w:ascii="Arial" w:hAnsi="Arial" w:cs="Arial"/>
          <w:bCs/>
          <w:sz w:val="24"/>
          <w:lang w:val="en-US"/>
        </w:rPr>
      </w:pPr>
      <w:bookmarkStart w:name="_Int_NN0XjMO4" w:id="5"/>
      <w:r w:rsidRPr="005B6D0E">
        <w:rPr>
          <w:rFonts w:ascii="Arial" w:hAnsi="Arial" w:cs="Arial"/>
          <w:b/>
          <w:sz w:val="24"/>
          <w:lang w:val="en-US"/>
        </w:rPr>
        <w:t xml:space="preserve">Title:                    </w:t>
      </w:r>
      <w:bookmarkEnd w:id="5"/>
      <w:r w:rsidR="007308CF">
        <w:rPr>
          <w:rFonts w:ascii="Arial" w:hAnsi="Arial" w:cs="Arial"/>
          <w:b/>
          <w:sz w:val="24"/>
          <w:lang w:val="en-US"/>
        </w:rPr>
        <w:t xml:space="preserve">  </w:t>
      </w:r>
      <w:r w:rsidRPr="005B6D0E" w:rsidR="001D472A">
        <w:rPr>
          <w:rFonts w:ascii="Arial" w:hAnsi="Arial" w:cs="Arial"/>
          <w:bCs/>
          <w:sz w:val="24"/>
          <w:lang w:val="en-US"/>
        </w:rPr>
        <w:t>Views on modification of existing Rx requirements for SBFD</w:t>
      </w:r>
    </w:p>
    <w:p w:rsidRPr="005B6D0E" w:rsidR="00792278" w:rsidP="001C37D1" w:rsidRDefault="00792278" w14:paraId="6006169F" w14:textId="394DB3EF">
      <w:pPr>
        <w:spacing w:line="360" w:lineRule="auto"/>
        <w:ind w:left="1988" w:hanging="1988"/>
        <w:jc w:val="both"/>
        <w:rPr>
          <w:rFonts w:ascii="Arial" w:hAnsi="Arial" w:cs="Arial"/>
          <w:b/>
          <w:sz w:val="24"/>
          <w:lang w:val="en-US"/>
        </w:rPr>
      </w:pPr>
      <w:r w:rsidRPr="005B6D0E">
        <w:rPr>
          <w:rFonts w:ascii="Arial" w:hAnsi="Arial" w:cs="Arial"/>
          <w:b/>
          <w:sz w:val="24"/>
          <w:lang w:val="en-US"/>
        </w:rPr>
        <w:t xml:space="preserve">Agenda Item:       </w:t>
      </w:r>
      <w:r w:rsidRPr="005B6D0E" w:rsidR="00175723">
        <w:rPr>
          <w:rFonts w:ascii="Arial" w:hAnsi="Arial" w:cs="Arial"/>
          <w:bCs/>
          <w:sz w:val="24"/>
          <w:lang w:val="en-US"/>
        </w:rPr>
        <w:t>7</w:t>
      </w:r>
      <w:r w:rsidRPr="005B6D0E" w:rsidR="00216F0A">
        <w:rPr>
          <w:rFonts w:ascii="Arial" w:hAnsi="Arial" w:cs="Arial"/>
          <w:bCs/>
          <w:sz w:val="24"/>
          <w:lang w:val="en-US"/>
        </w:rPr>
        <w:t>.2</w:t>
      </w:r>
      <w:r w:rsidR="004A2989">
        <w:rPr>
          <w:rFonts w:ascii="Arial" w:hAnsi="Arial" w:cs="Arial"/>
          <w:bCs/>
          <w:sz w:val="24"/>
          <w:lang w:val="en-US"/>
        </w:rPr>
        <w:t>5</w:t>
      </w:r>
      <w:r w:rsidRPr="005B6D0E" w:rsidR="00216F0A">
        <w:rPr>
          <w:rFonts w:ascii="Arial" w:hAnsi="Arial" w:cs="Arial"/>
          <w:bCs/>
          <w:sz w:val="24"/>
          <w:lang w:val="en-US"/>
        </w:rPr>
        <w:t>.</w:t>
      </w:r>
      <w:r w:rsidR="003002BE">
        <w:rPr>
          <w:rFonts w:ascii="Arial" w:hAnsi="Arial" w:cs="Arial"/>
          <w:bCs/>
          <w:sz w:val="24"/>
          <w:lang w:val="en-US"/>
        </w:rPr>
        <w:t>3</w:t>
      </w:r>
      <w:r w:rsidRPr="005B6D0E" w:rsidR="00216F0A">
        <w:rPr>
          <w:rFonts w:ascii="Arial" w:hAnsi="Arial" w:cs="Arial"/>
          <w:bCs/>
          <w:sz w:val="24"/>
          <w:lang w:val="en-US"/>
        </w:rPr>
        <w:t>.3</w:t>
      </w:r>
    </w:p>
    <w:p w:rsidRPr="005B6D0E" w:rsidR="00792278" w:rsidP="001C37D1" w:rsidRDefault="00792278" w14:paraId="649EC1ED" w14:textId="385804EB">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Document for:     </w:t>
      </w:r>
      <w:r w:rsidRPr="005B6D0E">
        <w:rPr>
          <w:rFonts w:ascii="Arial" w:hAnsi="Arial" w:cs="Arial"/>
          <w:bCs/>
          <w:sz w:val="24"/>
          <w:lang w:val="en-US"/>
        </w:rPr>
        <w:t>Discussion</w:t>
      </w:r>
    </w:p>
    <w:p w:rsidRPr="006148EB" w:rsidR="00446A67" w:rsidP="00446A67" w:rsidRDefault="00446A67" w14:paraId="39829E14" w14:textId="680F8650">
      <w:pPr>
        <w:pStyle w:val="Heading1"/>
        <w:rPr>
          <w:rFonts w:ascii="Times New Roman" w:hAnsi="Times New Roman"/>
          <w:b/>
          <w:bCs/>
        </w:rPr>
      </w:pPr>
      <w:bookmarkStart w:name="_Ref521334010" w:id="6"/>
      <w:bookmarkStart w:name="_Ref163021500" w:id="7"/>
      <w:r w:rsidRPr="006148EB">
        <w:rPr>
          <w:rFonts w:ascii="Times New Roman" w:hAnsi="Times New Roman"/>
          <w:b/>
          <w:bCs/>
        </w:rPr>
        <w:t>Introduction</w:t>
      </w:r>
      <w:bookmarkEnd w:id="6"/>
    </w:p>
    <w:p w:rsidRPr="006F75D0" w:rsidR="00847D95" w:rsidP="006C6637" w:rsidRDefault="00847D95" w14:paraId="5757D5AF" w14:textId="20CE6BFC">
      <w:pPr>
        <w:spacing w:line="259" w:lineRule="auto"/>
        <w:jc w:val="both"/>
        <w:rPr>
          <w:rFonts w:eastAsia="Calibri"/>
          <w:color w:val="000000" w:themeColor="text1"/>
          <w:sz w:val="22"/>
          <w:szCs w:val="22"/>
          <w:lang w:val="en-US"/>
        </w:rPr>
      </w:pPr>
      <w:r w:rsidRPr="006F75D0">
        <w:rPr>
          <w:rFonts w:eastAsia="Calibri"/>
          <w:color w:val="000000" w:themeColor="text1"/>
          <w:sz w:val="22"/>
          <w:szCs w:val="22"/>
          <w:lang w:val="en-US"/>
        </w:rPr>
        <w:t>In the RAN4 #11</w:t>
      </w:r>
      <w:r w:rsidR="00F23DEB">
        <w:rPr>
          <w:rFonts w:eastAsia="Calibri"/>
          <w:color w:val="000000" w:themeColor="text1"/>
          <w:sz w:val="22"/>
          <w:szCs w:val="22"/>
          <w:lang w:val="en-US"/>
        </w:rPr>
        <w:t>4</w:t>
      </w:r>
      <w:r w:rsidR="008F5BC4">
        <w:rPr>
          <w:rFonts w:eastAsia="Calibri"/>
          <w:color w:val="000000" w:themeColor="text1"/>
          <w:sz w:val="22"/>
          <w:szCs w:val="22"/>
          <w:lang w:val="en-US"/>
        </w:rPr>
        <w:t xml:space="preserve">bis </w:t>
      </w:r>
      <w:r w:rsidRPr="006F75D0">
        <w:rPr>
          <w:rFonts w:eastAsia="Calibri"/>
          <w:color w:val="000000" w:themeColor="text1"/>
          <w:sz w:val="22"/>
          <w:szCs w:val="22"/>
          <w:lang w:val="en-US"/>
        </w:rPr>
        <w:t>meeting</w:t>
      </w:r>
      <w:r w:rsidRPr="006F75D0" w:rsidR="00AB545C">
        <w:rPr>
          <w:rFonts w:eastAsia="Calibri"/>
          <w:color w:val="000000" w:themeColor="text1"/>
          <w:sz w:val="22"/>
          <w:szCs w:val="22"/>
          <w:lang w:val="en-US"/>
        </w:rPr>
        <w:t xml:space="preserve">, </w:t>
      </w:r>
      <w:r w:rsidRPr="006F75D0">
        <w:rPr>
          <w:rFonts w:eastAsia="Calibri"/>
          <w:color w:val="000000" w:themeColor="text1"/>
          <w:sz w:val="22"/>
          <w:szCs w:val="22"/>
          <w:lang w:val="en-US"/>
        </w:rPr>
        <w:t>RAN4 agreed to further study</w:t>
      </w:r>
      <w:r w:rsidRPr="006F75D0" w:rsidR="00987D58">
        <w:rPr>
          <w:rFonts w:eastAsia="Calibri"/>
          <w:color w:val="000000" w:themeColor="text1"/>
          <w:sz w:val="22"/>
          <w:szCs w:val="22"/>
          <w:lang w:val="en-US"/>
        </w:rPr>
        <w:t>, SBFD in-band blocking</w:t>
      </w:r>
      <w:r w:rsidR="00737AA6">
        <w:rPr>
          <w:rFonts w:eastAsia="Calibri"/>
          <w:color w:val="000000" w:themeColor="text1"/>
          <w:sz w:val="22"/>
          <w:szCs w:val="22"/>
          <w:lang w:val="en-US"/>
        </w:rPr>
        <w:t>.</w:t>
      </w:r>
      <w:r w:rsidR="00B15298">
        <w:rPr>
          <w:rFonts w:eastAsia="Calibri"/>
          <w:color w:val="000000" w:themeColor="text1"/>
          <w:sz w:val="22"/>
          <w:szCs w:val="22"/>
          <w:lang w:val="en-US"/>
        </w:rPr>
        <w:t xml:space="preserve"> </w:t>
      </w:r>
    </w:p>
    <w:p w:rsidRPr="006148EB" w:rsidR="003A4B9D" w:rsidP="003A4B9D" w:rsidRDefault="008F508F" w14:paraId="3D187333" w14:textId="10D0B15E">
      <w:pPr>
        <w:pStyle w:val="Heading1"/>
        <w:rPr>
          <w:rFonts w:ascii="Times New Roman" w:hAnsi="Times New Roman"/>
          <w:b/>
          <w:bCs/>
        </w:rPr>
      </w:pPr>
      <w:r w:rsidRPr="006148EB">
        <w:rPr>
          <w:rFonts w:ascii="Times New Roman" w:hAnsi="Times New Roman"/>
          <w:b/>
          <w:bCs/>
        </w:rPr>
        <w:t>Discussion</w:t>
      </w:r>
    </w:p>
    <w:p w:rsidRPr="006148EB" w:rsidR="00243898" w:rsidP="00927E53" w:rsidRDefault="007F2B83" w14:paraId="63695277" w14:textId="38598180">
      <w:pPr>
        <w:pStyle w:val="Heading2"/>
        <w:spacing w:line="259" w:lineRule="auto"/>
        <w:ind w:left="709" w:hanging="708"/>
        <w:jc w:val="left"/>
        <w:rPr>
          <w:rFonts w:ascii="Times New Roman" w:hAnsi="Times New Roman"/>
          <w:b/>
          <w:bCs/>
        </w:rPr>
      </w:pPr>
      <w:bookmarkStart w:name="_Hlk178587788" w:id="8"/>
      <w:r w:rsidRPr="007F2B83">
        <w:rPr>
          <w:rFonts w:ascii="Times New Roman" w:hAnsi="Times New Roman"/>
          <w:b/>
          <w:bCs/>
        </w:rPr>
        <w:t>In-band blocking for FR1 WA BS</w:t>
      </w:r>
    </w:p>
    <w:bookmarkEnd w:id="8"/>
    <w:p w:rsidRPr="00647C00" w:rsidR="00243898" w:rsidP="00243898" w:rsidRDefault="00243898" w14:paraId="1D97CB92" w14:textId="77777777"/>
    <w:p w:rsidRPr="00647C00" w:rsidR="00A73EC8" w:rsidP="00A73EC8" w:rsidRDefault="00A73EC8" w14:paraId="7D12468A" w14:textId="08F996FA">
      <w:pPr>
        <w:spacing w:line="256" w:lineRule="auto"/>
        <w:jc w:val="both"/>
        <w:rPr>
          <w:rFonts w:eastAsia="Calibri"/>
          <w:color w:val="000000" w:themeColor="text1"/>
          <w:sz w:val="22"/>
          <w:szCs w:val="22"/>
          <w:lang w:val="en-US"/>
        </w:rPr>
      </w:pPr>
      <w:r w:rsidRPr="00647C00">
        <w:rPr>
          <w:rFonts w:eastAsia="Calibri"/>
          <w:color w:val="000000" w:themeColor="text1"/>
          <w:sz w:val="22"/>
          <w:szCs w:val="22"/>
          <w:lang w:val="en-US"/>
        </w:rPr>
        <w:t>In the RAN4 #11</w:t>
      </w:r>
      <w:r w:rsidR="00F23DEB">
        <w:rPr>
          <w:rFonts w:eastAsia="Calibri"/>
          <w:color w:val="000000" w:themeColor="text1"/>
          <w:sz w:val="22"/>
          <w:szCs w:val="22"/>
          <w:lang w:val="en-US"/>
        </w:rPr>
        <w:t>4</w:t>
      </w:r>
      <w:r w:rsidR="007308CF">
        <w:rPr>
          <w:rFonts w:eastAsia="Calibri"/>
          <w:color w:val="000000" w:themeColor="text1"/>
          <w:sz w:val="22"/>
          <w:szCs w:val="22"/>
          <w:lang w:val="en-US"/>
        </w:rPr>
        <w:t>bis</w:t>
      </w:r>
      <w:r w:rsidRPr="00647C00">
        <w:rPr>
          <w:rFonts w:eastAsia="Calibri"/>
          <w:color w:val="000000" w:themeColor="text1"/>
          <w:sz w:val="22"/>
          <w:szCs w:val="22"/>
          <w:lang w:val="en-US"/>
        </w:rPr>
        <w:t xml:space="preserve"> agreed to further study BS receiver in-band blocking with following agreement and WF [1].</w:t>
      </w:r>
    </w:p>
    <w:p w:rsidRPr="00647C00" w:rsidR="00A73EC8" w:rsidP="00A73EC8" w:rsidRDefault="00A73EC8" w14:paraId="41290C27" w14:textId="77777777">
      <w:pPr>
        <w:spacing w:line="256" w:lineRule="auto"/>
        <w:jc w:val="both"/>
        <w:rPr>
          <w:rFonts w:eastAsia="Calibri"/>
          <w:color w:val="000000" w:themeColor="text1"/>
          <w:sz w:val="22"/>
          <w:szCs w:val="22"/>
          <w:lang w:val="en-US"/>
        </w:rPr>
      </w:pPr>
    </w:p>
    <w:tbl>
      <w:tblPr>
        <w:tblStyle w:val="TableGrid"/>
        <w:tblW w:w="9409" w:type="dxa"/>
        <w:tblLook w:val="04A0" w:firstRow="1" w:lastRow="0" w:firstColumn="1" w:lastColumn="0" w:noHBand="0" w:noVBand="1"/>
      </w:tblPr>
      <w:tblGrid>
        <w:gridCol w:w="9409"/>
      </w:tblGrid>
      <w:tr w:rsidRPr="00F23DEB" w:rsidR="00A73EC8" w:rsidTr="366E2E41" w14:paraId="7C487C6C" w14:textId="77777777">
        <w:trPr>
          <w:trHeight w:val="699"/>
        </w:trPr>
        <w:tc>
          <w:tcPr>
            <w:tcW w:w="9409" w:type="dxa"/>
            <w:tcBorders>
              <w:top w:val="single" w:color="auto" w:sz="4" w:space="0"/>
              <w:left w:val="single" w:color="auto" w:sz="4" w:space="0"/>
              <w:bottom w:val="single" w:color="auto" w:sz="4" w:space="0"/>
              <w:right w:val="single" w:color="auto" w:sz="4" w:space="0"/>
            </w:tcBorders>
          </w:tcPr>
          <w:p w:rsidRPr="007F2B83" w:rsidR="007F2B83" w:rsidP="007F2B83" w:rsidRDefault="007F2B83" w14:paraId="373CE4CB" w14:textId="77777777">
            <w:pPr>
              <w:pStyle w:val="ListParagraph"/>
              <w:numPr>
                <w:ilvl w:val="0"/>
                <w:numId w:val="33"/>
              </w:numPr>
              <w:spacing w:after="120"/>
              <w:jc w:val="both"/>
              <w:rPr>
                <w:rFonts w:ascii="Times New Roman" w:hAnsi="Times New Roman" w:eastAsia="SimSun"/>
                <w:szCs w:val="24"/>
              </w:rPr>
            </w:pPr>
            <w:r w:rsidRPr="007F2B83">
              <w:rPr>
                <w:rFonts w:ascii="Times New Roman" w:hAnsi="Times New Roman" w:eastAsia="SimSun"/>
                <w:szCs w:val="24"/>
              </w:rPr>
              <w:t>FFS on this issue</w:t>
            </w:r>
          </w:p>
          <w:p w:rsidRPr="007F2B83" w:rsidR="007F2B83" w:rsidP="007F2B83" w:rsidRDefault="007F2B83" w14:paraId="36221A2F" w14:textId="77777777">
            <w:pPr>
              <w:pStyle w:val="ListParagraph"/>
              <w:numPr>
                <w:ilvl w:val="1"/>
                <w:numId w:val="33"/>
              </w:numPr>
              <w:overflowPunct w:val="0"/>
              <w:autoSpaceDE w:val="0"/>
              <w:autoSpaceDN w:val="0"/>
              <w:adjustRightInd w:val="0"/>
              <w:spacing w:after="180"/>
              <w:jc w:val="both"/>
              <w:textAlignment w:val="baseline"/>
              <w:rPr>
                <w:rFonts w:ascii="Times New Roman" w:hAnsi="Times New Roman" w:eastAsia="SimSun"/>
                <w:szCs w:val="24"/>
              </w:rPr>
            </w:pPr>
            <w:r w:rsidRPr="007F2B83">
              <w:rPr>
                <w:rFonts w:ascii="Times New Roman" w:hAnsi="Times New Roman" w:eastAsia="SimSun"/>
                <w:szCs w:val="24"/>
              </w:rPr>
              <w:t>Option 1:</w:t>
            </w:r>
            <w:r w:rsidRPr="007F2B83">
              <w:rPr>
                <w:rFonts w:ascii="Times New Roman" w:hAnsi="Times New Roman"/>
              </w:rPr>
              <w:t xml:space="preserve"> D</w:t>
            </w:r>
            <w:r w:rsidRPr="007F2B83">
              <w:rPr>
                <w:rFonts w:ascii="Times New Roman" w:hAnsi="Times New Roman" w:eastAsiaTheme="minorEastAsia"/>
              </w:rPr>
              <w:t xml:space="preserve">efine </w:t>
            </w:r>
            <w:r w:rsidRPr="007F2B83">
              <w:rPr>
                <w:rFonts w:ascii="Times New Roman" w:hAnsi="Times New Roman"/>
              </w:rPr>
              <w:t>the in-band blocking requirement with the same grid-shift [TBD] for both SBFD-TDD adjacent operator scenario and SBFD-SBFD adjacent operator scenario. Additional emission requirement is included in this release</w:t>
            </w:r>
          </w:p>
          <w:p w:rsidRPr="007F2B83" w:rsidR="00A73EC8" w:rsidP="007F2B83" w:rsidRDefault="007F2B83" w14:paraId="387F0751" w14:textId="1F886997">
            <w:pPr>
              <w:pStyle w:val="ListParagraph"/>
              <w:numPr>
                <w:ilvl w:val="1"/>
                <w:numId w:val="33"/>
              </w:numPr>
              <w:overflowPunct w:val="0"/>
              <w:autoSpaceDE w:val="0"/>
              <w:autoSpaceDN w:val="0"/>
              <w:adjustRightInd w:val="0"/>
              <w:spacing w:after="180"/>
              <w:jc w:val="both"/>
              <w:textAlignment w:val="baseline"/>
              <w:rPr>
                <w:rFonts w:eastAsia="SimSun"/>
                <w:szCs w:val="24"/>
              </w:rPr>
            </w:pPr>
            <w:r w:rsidRPr="007F2B83">
              <w:rPr>
                <w:rFonts w:ascii="Times New Roman" w:hAnsi="Times New Roman" w:eastAsia="SimSun"/>
                <w:szCs w:val="24"/>
              </w:rPr>
              <w:t xml:space="preserve">Option 2: </w:t>
            </w:r>
            <w:r w:rsidRPr="007F2B83">
              <w:rPr>
                <w:rFonts w:ascii="Times New Roman" w:hAnsi="Times New Roman" w:eastAsiaTheme="minorEastAsia"/>
              </w:rPr>
              <w:t>D</w:t>
            </w:r>
            <w:r w:rsidRPr="007F2B83">
              <w:rPr>
                <w:rFonts w:ascii="Times New Roman" w:hAnsi="Times New Roman"/>
              </w:rPr>
              <w:t>efine the in-band blocking requirement with grid-shift 20-50% for SBFD-TDD adjacent operator scenario, while additional emission requirement is not considered in Rel-19. If a decision is made to require SBFD on adjacent operators in a band, a future WI will address necessary emissions and blocking requirements for the SBFD-SBFD adjacent operator scenario</w:t>
            </w:r>
          </w:p>
        </w:tc>
      </w:tr>
    </w:tbl>
    <w:p w:rsidRPr="008356EB" w:rsidR="00A73EC8" w:rsidP="00A73EC8" w:rsidRDefault="00A73EC8" w14:paraId="03DA3ED0" w14:textId="77777777">
      <w:pPr>
        <w:spacing w:line="256" w:lineRule="auto"/>
        <w:jc w:val="both"/>
        <w:rPr>
          <w:rFonts w:eastAsia="Calibri"/>
          <w:color w:val="000000" w:themeColor="text1"/>
          <w:sz w:val="22"/>
          <w:szCs w:val="22"/>
          <w:lang w:val="en-US"/>
        </w:rPr>
      </w:pPr>
    </w:p>
    <w:p w:rsidRPr="000C23C1" w:rsidR="006B7863" w:rsidP="006B7863" w:rsidRDefault="006B7863" w14:paraId="530030E6" w14:textId="758C117F" w14:noSpellErr="1">
      <w:pPr>
        <w:jc w:val="both"/>
        <w:rPr>
          <w:rFonts w:eastAsia="Times New Roman"/>
          <w:sz w:val="22"/>
          <w:szCs w:val="22"/>
          <w:lang w:val="en-IN" w:eastAsia="en-IN"/>
        </w:rPr>
      </w:pPr>
      <w:bookmarkStart w:name="_Hlk188364326" w:id="9"/>
      <w:r w:rsidRPr="6E27AAD2" w:rsidR="5CABC79B">
        <w:rPr>
          <w:rFonts w:eastAsia="Times New Roman"/>
          <w:sz w:val="22"/>
          <w:szCs w:val="22"/>
          <w:lang w:val="en-IN" w:eastAsia="en-IN"/>
        </w:rPr>
        <w:t xml:space="preserve">In our </w:t>
      </w:r>
      <w:r w:rsidRPr="6E27AAD2" w:rsidR="5CABC79B">
        <w:rPr>
          <w:rFonts w:eastAsia="Times New Roman"/>
          <w:sz w:val="22"/>
          <w:szCs w:val="22"/>
          <w:lang w:val="en-IN" w:eastAsia="en-IN"/>
        </w:rPr>
        <w:t>previous</w:t>
      </w:r>
      <w:r w:rsidRPr="6E27AAD2" w:rsidR="5CABC79B">
        <w:rPr>
          <w:rFonts w:eastAsia="Times New Roman"/>
          <w:sz w:val="22"/>
          <w:szCs w:val="22"/>
          <w:lang w:val="en-IN" w:eastAsia="en-IN"/>
        </w:rPr>
        <w:t xml:space="preserve"> contributions [2]</w:t>
      </w:r>
      <w:r w:rsidRPr="6E27AAD2" w:rsidR="5CABC79B">
        <w:rPr>
          <w:rFonts w:eastAsia="Times New Roman"/>
          <w:sz w:val="22"/>
          <w:szCs w:val="22"/>
          <w:lang w:val="en-IN" w:eastAsia="en-IN"/>
        </w:rPr>
        <w:t>–[</w:t>
      </w:r>
      <w:r w:rsidRPr="6E27AAD2" w:rsidR="5CABC79B">
        <w:rPr>
          <w:rFonts w:eastAsia="Times New Roman"/>
          <w:sz w:val="22"/>
          <w:szCs w:val="22"/>
          <w:lang w:val="en-IN" w:eastAsia="en-IN"/>
        </w:rPr>
        <w:t xml:space="preserve">4], we provided in-band blocking requirements for the SBFD-TDD adjacent operator scenario, including results for 10% and 100% grid shifts (GS). In this contribution, we expand upon that work by presenting </w:t>
      </w:r>
      <w:r w:rsidRPr="6E27AAD2" w:rsidR="5CABC79B">
        <w:rPr>
          <w:rFonts w:eastAsia="Times New Roman"/>
          <w:sz w:val="22"/>
          <w:szCs w:val="22"/>
          <w:lang w:val="en-IN" w:eastAsia="en-IN"/>
        </w:rPr>
        <w:t>a</w:t>
      </w:r>
      <w:r w:rsidRPr="6E27AAD2" w:rsidR="5CABC79B">
        <w:rPr>
          <w:rFonts w:eastAsia="Times New Roman"/>
          <w:sz w:val="22"/>
          <w:szCs w:val="22"/>
          <w:lang w:val="en-IN" w:eastAsia="en-IN"/>
        </w:rPr>
        <w:t>dditional</w:t>
      </w:r>
      <w:r w:rsidRPr="6E27AAD2" w:rsidR="5CABC79B">
        <w:rPr>
          <w:rFonts w:eastAsia="Times New Roman"/>
          <w:sz w:val="22"/>
          <w:szCs w:val="22"/>
          <w:lang w:val="en-IN" w:eastAsia="en-IN"/>
        </w:rPr>
        <w:t xml:space="preserve"> </w:t>
      </w:r>
      <w:r w:rsidRPr="6E27AAD2" w:rsidR="5CABC79B">
        <w:rPr>
          <w:rFonts w:eastAsia="Times New Roman"/>
          <w:sz w:val="22"/>
          <w:szCs w:val="22"/>
          <w:lang w:val="en-IN" w:eastAsia="en-IN"/>
        </w:rPr>
        <w:t>simulation results for a 20% GS. We propose a minimum grid shift of 10% to better reflect practical deployment conditions.</w:t>
      </w:r>
      <w:r w:rsidRPr="6E27AAD2" w:rsidR="5CABC79B">
        <w:rPr>
          <w:rFonts w:eastAsia="Times New Roman"/>
          <w:sz w:val="22"/>
          <w:szCs w:val="22"/>
          <w:lang w:val="en-IN" w:eastAsia="en-IN"/>
        </w:rPr>
        <w:t xml:space="preserve"> </w:t>
      </w:r>
      <w:r w:rsidRPr="6E27AAD2" w:rsidR="5CABC79B">
        <w:rPr>
          <w:rFonts w:eastAsia="Times New Roman"/>
          <w:sz w:val="22"/>
          <w:szCs w:val="22"/>
          <w:lang w:val="en-IN" w:eastAsia="en-IN"/>
        </w:rPr>
        <w:t xml:space="preserve">The SBFD-TDD scenario was thoroughly analyzed during Rel-18 and is backed by extensive simulations and data. As such, focusing Rel-19 efforts on SBFD-TDD is both efficient and practical. In contrast, introducing SBFD-SBFD at this stage would require </w:t>
      </w:r>
      <w:r w:rsidRPr="6E27AAD2" w:rsidR="5CABC79B">
        <w:rPr>
          <w:rFonts w:eastAsia="Times New Roman"/>
          <w:sz w:val="22"/>
          <w:szCs w:val="22"/>
          <w:lang w:val="en-IN" w:eastAsia="en-IN"/>
        </w:rPr>
        <w:t>n</w:t>
      </w:r>
      <w:r w:rsidRPr="6E27AAD2" w:rsidR="5CABC79B">
        <w:rPr>
          <w:rFonts w:eastAsia="Times New Roman"/>
          <w:sz w:val="22"/>
          <w:szCs w:val="22"/>
          <w:lang w:val="en-IN" w:eastAsia="en-IN"/>
        </w:rPr>
        <w:t>ew studies</w:t>
      </w:r>
      <w:r w:rsidRPr="6E27AAD2" w:rsidR="5CABC79B">
        <w:rPr>
          <w:rFonts w:eastAsia="Times New Roman"/>
          <w:sz w:val="22"/>
          <w:szCs w:val="22"/>
          <w:lang w:val="en-IN" w:eastAsia="en-IN"/>
        </w:rPr>
        <w:t xml:space="preserve"> </w:t>
      </w:r>
      <w:r w:rsidRPr="6E27AAD2" w:rsidR="5CABC79B">
        <w:rPr>
          <w:rFonts w:eastAsia="Times New Roman"/>
          <w:sz w:val="22"/>
          <w:szCs w:val="22"/>
          <w:lang w:val="en-IN" w:eastAsia="en-IN"/>
        </w:rPr>
        <w:t xml:space="preserve">and filter design work, potentially delaying progress. Since </w:t>
      </w:r>
      <w:r w:rsidRPr="6E27AAD2" w:rsidR="5CABC79B">
        <w:rPr>
          <w:rFonts w:eastAsia="Times New Roman"/>
          <w:sz w:val="22"/>
          <w:szCs w:val="22"/>
          <w:lang w:val="en-IN" w:eastAsia="en-IN"/>
        </w:rPr>
        <w:t>i</w:t>
      </w:r>
      <w:r w:rsidRPr="6E27AAD2" w:rsidR="5CABC79B">
        <w:rPr>
          <w:rFonts w:eastAsia="Times New Roman"/>
          <w:sz w:val="22"/>
          <w:szCs w:val="22"/>
          <w:lang w:val="en-IN" w:eastAsia="en-IN"/>
        </w:rPr>
        <w:t>nitial</w:t>
      </w:r>
      <w:r w:rsidRPr="6E27AAD2" w:rsidR="5CABC79B">
        <w:rPr>
          <w:rFonts w:eastAsia="Times New Roman"/>
          <w:sz w:val="22"/>
          <w:szCs w:val="22"/>
          <w:lang w:val="en-IN" w:eastAsia="en-IN"/>
        </w:rPr>
        <w:t xml:space="preserve"> </w:t>
      </w:r>
      <w:r w:rsidRPr="6E27AAD2" w:rsidR="5CABC79B">
        <w:rPr>
          <w:rFonts w:eastAsia="Times New Roman"/>
          <w:sz w:val="22"/>
          <w:szCs w:val="22"/>
          <w:lang w:val="en-IN" w:eastAsia="en-IN"/>
        </w:rPr>
        <w:t>SBFD deployments are expected to coexist primarily with legacy TDD systems, prioritizing SBFD-TDD offers immediate value without incurring unnecessary cost or complexity.</w:t>
      </w:r>
      <w:r w:rsidRPr="6E27AAD2" w:rsidR="3E17A3B5">
        <w:rPr>
          <w:rFonts w:eastAsia="Times New Roman"/>
          <w:sz w:val="22"/>
          <w:szCs w:val="22"/>
          <w:lang w:val="en-IN" w:eastAsia="en-IN"/>
        </w:rPr>
        <w:t xml:space="preserve"> </w:t>
      </w:r>
      <w:r w:rsidRPr="6E27AAD2" w:rsidR="5CABC79B">
        <w:rPr>
          <w:rFonts w:eastAsia="Times New Roman"/>
          <w:sz w:val="22"/>
          <w:szCs w:val="22"/>
          <w:lang w:val="en-IN" w:eastAsia="en-IN"/>
        </w:rPr>
        <w:t>Given the varying pace of SBFD adoption and the uncertain regulatory timelines across regions, delaying SBFD-SBFD requirements helps avoid premature over-specification. At this stage, emission mask requirements can be scoped to SBFD-TDD, with SBFD-SBFD considerations addressed in a future WI based on real-world deployment experience.</w:t>
      </w:r>
      <w:r w:rsidRPr="6E27AAD2" w:rsidR="5CABC79B">
        <w:rPr>
          <w:rFonts w:eastAsia="Times New Roman"/>
          <w:sz w:val="22"/>
          <w:szCs w:val="22"/>
          <w:lang w:val="en-IN" w:eastAsia="en-IN"/>
        </w:rPr>
        <w:t xml:space="preserve"> </w:t>
      </w:r>
      <w:r w:rsidRPr="6E27AAD2" w:rsidR="5CABC79B">
        <w:rPr>
          <w:rFonts w:eastAsia="Times New Roman"/>
          <w:sz w:val="22"/>
          <w:szCs w:val="22"/>
          <w:lang w:val="en-IN" w:eastAsia="en-IN"/>
        </w:rPr>
        <w:t>We also support deferring the definition of emissions and blocking requirements for the SBFD-SBFD adjacent operator scenario to a future WI</w:t>
      </w:r>
      <w:r w:rsidRPr="6E27AAD2" w:rsidR="5CABC79B">
        <w:rPr>
          <w:rFonts w:eastAsia="Times New Roman"/>
          <w:sz w:val="24"/>
          <w:szCs w:val="24"/>
          <w:lang w:val="en-IN" w:eastAsia="en-IN"/>
        </w:rPr>
        <w:t xml:space="preserve">. </w:t>
      </w:r>
    </w:p>
    <w:bookmarkEnd w:id="9"/>
    <w:p w:rsidR="3B2DC235" w:rsidP="3B2DC235" w:rsidRDefault="3B2DC235" w14:paraId="793117C3" w14:textId="1383B7BD">
      <w:pPr>
        <w:jc w:val="both"/>
        <w:rPr>
          <w:rFonts w:eastAsia="Times New Roman"/>
          <w:sz w:val="24"/>
          <w:szCs w:val="24"/>
          <w:lang w:val="en-IN" w:eastAsia="en-IN"/>
        </w:rPr>
      </w:pPr>
    </w:p>
    <w:p w:rsidRPr="00797BC4" w:rsidR="00F40412" w:rsidP="00F40412" w:rsidRDefault="00A67C27" w14:paraId="154C04C3" w14:textId="73676C6A">
      <w:pPr>
        <w:autoSpaceDN w:val="0"/>
        <w:spacing w:line="254" w:lineRule="auto"/>
        <w:jc w:val="both"/>
        <w:rPr>
          <w:b/>
          <w:bCs/>
          <w:sz w:val="22"/>
          <w:szCs w:val="22"/>
        </w:rPr>
      </w:pPr>
      <w:r w:rsidRPr="00797BC4">
        <w:rPr>
          <w:b/>
          <w:bCs/>
          <w:sz w:val="22"/>
          <w:szCs w:val="22"/>
        </w:rPr>
        <w:lastRenderedPageBreak/>
        <w:t xml:space="preserve">Proposal 1: </w:t>
      </w:r>
      <w:r w:rsidRPr="00720927" w:rsidR="00720927">
        <w:rPr>
          <w:b/>
          <w:bCs/>
          <w:sz w:val="22"/>
          <w:szCs w:val="22"/>
        </w:rPr>
        <w:t>We propose focusing Rel-19 efforts on SBFD-TDD scenarios with at least 10% GS. SBFD-SBFD requirements should be addressed in a future WI based on deployment priorities</w:t>
      </w:r>
      <w:r w:rsidRPr="00797BC4">
        <w:rPr>
          <w:b/>
          <w:bCs/>
          <w:sz w:val="22"/>
          <w:szCs w:val="22"/>
        </w:rPr>
        <w:t>.</w:t>
      </w:r>
    </w:p>
    <w:p w:rsidR="00647C00" w:rsidP="000E0A21" w:rsidRDefault="00647C00" w14:paraId="4AD9F416" w14:textId="77777777">
      <w:pPr>
        <w:pStyle w:val="Heading3"/>
        <w:ind w:left="709"/>
        <w:rPr>
          <w:rFonts w:ascii="Times New Roman" w:hAnsi="Times New Roman"/>
          <w:b/>
          <w:bCs/>
        </w:rPr>
      </w:pPr>
      <w:r w:rsidRPr="00647C00">
        <w:rPr>
          <w:rFonts w:ascii="Times New Roman" w:hAnsi="Times New Roman"/>
          <w:b/>
          <w:bCs/>
        </w:rPr>
        <w:t>S</w:t>
      </w:r>
      <w:r w:rsidRPr="00647C00" w:rsidR="00A73EC8">
        <w:rPr>
          <w:rFonts w:ascii="Times New Roman" w:hAnsi="Times New Roman"/>
          <w:b/>
          <w:bCs/>
        </w:rPr>
        <w:t>imulation results</w:t>
      </w:r>
    </w:p>
    <w:p w:rsidR="006B7863" w:rsidP="006B7863" w:rsidRDefault="006B7863" w14:paraId="103E6E28" w14:textId="168B5E59">
      <w:pPr>
        <w:rPr>
          <w:rFonts w:eastAsia="Times New Roman"/>
          <w:sz w:val="22"/>
          <w:szCs w:val="22"/>
          <w:lang w:val="en-IN" w:eastAsia="en-IN"/>
        </w:rPr>
      </w:pPr>
      <w:r w:rsidRPr="00161EA5">
        <w:rPr>
          <w:rFonts w:eastAsia="Times New Roman"/>
          <w:sz w:val="22"/>
          <w:szCs w:val="22"/>
          <w:lang w:val="en-IN" w:eastAsia="en-IN"/>
        </w:rPr>
        <w:t>The simulation assumptions remain consistent with those presented in our earlier contributions [2]–[4].</w:t>
      </w:r>
    </w:p>
    <w:p w:rsidRPr="006B7863" w:rsidR="006B7863" w:rsidP="006B7863" w:rsidRDefault="006B7863" w14:paraId="078CD806" w14:textId="77777777">
      <w:pPr>
        <w:rPr>
          <w:lang w:eastAsia="zh-CN"/>
        </w:rPr>
      </w:pPr>
    </w:p>
    <w:p w:rsidRPr="0094140C" w:rsidR="007241CA" w:rsidP="00D02FBA" w:rsidRDefault="007241CA" w14:paraId="020B30E3" w14:textId="0ED13DA9">
      <w:pPr>
        <w:pStyle w:val="Heading4"/>
        <w:rPr>
          <w:rFonts w:ascii="Times New Roman" w:hAnsi="Times New Roman" w:cs="Times New Roman"/>
          <w:i/>
          <w:iCs w:val="0"/>
          <w:sz w:val="24"/>
          <w:szCs w:val="18"/>
        </w:rPr>
      </w:pPr>
      <w:bookmarkStart w:name="_Hlk181783239" w:id="10"/>
      <w:r w:rsidRPr="0094140C">
        <w:rPr>
          <w:rFonts w:ascii="Times New Roman" w:hAnsi="Times New Roman" w:cs="Times New Roman"/>
          <w:i/>
          <w:iCs w:val="0"/>
          <w:sz w:val="24"/>
          <w:szCs w:val="18"/>
          <w:lang w:eastAsia="ja-JP"/>
        </w:rPr>
        <w:t xml:space="preserve">SBFD Aggressor </w:t>
      </w:r>
    </w:p>
    <w:bookmarkEnd w:id="10"/>
    <w:p w:rsidR="0040104A" w:rsidP="00A73EC8" w:rsidRDefault="0040104A" w14:paraId="575EF7F7" w14:textId="21B5202E">
      <w:pPr>
        <w:jc w:val="both"/>
        <w:rPr>
          <w:sz w:val="22"/>
          <w:szCs w:val="22"/>
          <w:lang w:eastAsia="ja-JP"/>
        </w:rPr>
      </w:pPr>
    </w:p>
    <w:p w:rsidRPr="00F12A51" w:rsidR="00F12A51" w:rsidP="00F12A51" w:rsidRDefault="00A73EC8" w14:paraId="6958C13E" w14:textId="77777777">
      <w:pPr>
        <w:jc w:val="both"/>
        <w:rPr>
          <w:sz w:val="22"/>
          <w:szCs w:val="22"/>
          <w:lang w:eastAsia="ja-JP"/>
        </w:rPr>
      </w:pPr>
      <w:r w:rsidRPr="00647C00">
        <w:rPr>
          <w:sz w:val="22"/>
          <w:szCs w:val="22"/>
          <w:lang w:eastAsia="ja-JP"/>
        </w:rPr>
        <w:t xml:space="preserve">We consider a coexistence scenario where </w:t>
      </w:r>
      <w:proofErr w:type="spellStart"/>
      <w:r w:rsidRPr="00647C00">
        <w:rPr>
          <w:sz w:val="22"/>
          <w:szCs w:val="22"/>
          <w:lang w:eastAsia="ja-JP"/>
        </w:rPr>
        <w:t>UMa</w:t>
      </w:r>
      <w:proofErr w:type="spellEnd"/>
      <w:r w:rsidRPr="00647C00">
        <w:rPr>
          <w:sz w:val="22"/>
          <w:szCs w:val="22"/>
          <w:lang w:eastAsia="ja-JP"/>
        </w:rPr>
        <w:t xml:space="preserve"> deployments of two different operators are deployed in the same area and in adjacent channels. The first operator (victim) deploys a SBFD network, while the second operator (aggressor) </w:t>
      </w:r>
      <w:r w:rsidR="00BC1E61">
        <w:rPr>
          <w:sz w:val="22"/>
          <w:szCs w:val="22"/>
          <w:lang w:eastAsia="ja-JP"/>
        </w:rPr>
        <w:t>also</w:t>
      </w:r>
      <w:r w:rsidRPr="00647C00">
        <w:rPr>
          <w:sz w:val="22"/>
          <w:szCs w:val="22"/>
          <w:lang w:eastAsia="ja-JP"/>
        </w:rPr>
        <w:t xml:space="preserve"> deploys a </w:t>
      </w:r>
      <w:r w:rsidR="00777D67">
        <w:rPr>
          <w:sz w:val="22"/>
          <w:szCs w:val="22"/>
          <w:lang w:eastAsia="ja-JP"/>
        </w:rPr>
        <w:t>SBFD</w:t>
      </w:r>
      <w:r w:rsidRPr="00647C00">
        <w:rPr>
          <w:sz w:val="22"/>
          <w:szCs w:val="22"/>
          <w:lang w:eastAsia="ja-JP"/>
        </w:rPr>
        <w:t xml:space="preserve"> network. We are interested in evaluating the wideband interference power received by the UL of the SBFD operator from the DL of the </w:t>
      </w:r>
      <w:r w:rsidR="0040104A">
        <w:rPr>
          <w:sz w:val="22"/>
          <w:szCs w:val="22"/>
          <w:lang w:eastAsia="ja-JP"/>
        </w:rPr>
        <w:t>SBFD</w:t>
      </w:r>
      <w:r w:rsidRPr="00647C00">
        <w:rPr>
          <w:sz w:val="22"/>
          <w:szCs w:val="22"/>
          <w:lang w:eastAsia="ja-JP"/>
        </w:rPr>
        <w:t xml:space="preserve"> </w:t>
      </w:r>
      <w:r w:rsidR="00BC1E61">
        <w:rPr>
          <w:sz w:val="22"/>
          <w:szCs w:val="22"/>
          <w:lang w:eastAsia="ja-JP"/>
        </w:rPr>
        <w:t>aggressor</w:t>
      </w:r>
      <w:r w:rsidRPr="00647C00">
        <w:rPr>
          <w:sz w:val="22"/>
          <w:szCs w:val="22"/>
          <w:lang w:eastAsia="ja-JP"/>
        </w:rPr>
        <w:t xml:space="preserve">. </w:t>
      </w:r>
      <w:r w:rsidRPr="00F12A51" w:rsidR="00F12A51">
        <w:rPr>
          <w:sz w:val="22"/>
          <w:szCs w:val="22"/>
          <w:lang w:eastAsia="ja-JP"/>
        </w:rPr>
        <w:t>The baseline noise figure model used in the analysis is based on the default parameters specified in 3GPP TR 38.858 Annex E [5].</w:t>
      </w:r>
    </w:p>
    <w:p w:rsidR="00A73EC8" w:rsidP="00A73EC8" w:rsidRDefault="00A73EC8" w14:paraId="18676D65" w14:textId="03D15912">
      <w:pPr>
        <w:jc w:val="both"/>
        <w:rPr>
          <w:sz w:val="22"/>
          <w:szCs w:val="22"/>
          <w:lang w:eastAsia="ja-JP"/>
        </w:rPr>
      </w:pPr>
      <w:r w:rsidRPr="00647C00">
        <w:rPr>
          <w:sz w:val="22"/>
          <w:szCs w:val="22"/>
          <w:lang w:eastAsia="ja-JP"/>
        </w:rPr>
        <w:t xml:space="preserve"> </w:t>
      </w:r>
    </w:p>
    <w:p w:rsidR="009B0476" w:rsidP="00A73EC8" w:rsidRDefault="009B0476" w14:paraId="14CB079B" w14:textId="77777777">
      <w:pPr>
        <w:jc w:val="both"/>
        <w:rPr>
          <w:sz w:val="22"/>
          <w:szCs w:val="22"/>
          <w:lang w:eastAsia="ja-JP"/>
        </w:rPr>
      </w:pPr>
    </w:p>
    <w:p w:rsidRPr="00647C00" w:rsidR="00CD0B02" w:rsidP="00E4634D" w:rsidRDefault="00503122" w14:paraId="5D6CB22A" w14:textId="4CA0BF1E">
      <w:pPr>
        <w:jc w:val="center"/>
        <w:rPr>
          <w:sz w:val="22"/>
          <w:szCs w:val="22"/>
        </w:rPr>
      </w:pPr>
      <w:r w:rsidRPr="00503122">
        <w:rPr>
          <w:noProof/>
          <w:sz w:val="22"/>
          <w:szCs w:val="22"/>
        </w:rPr>
        <w:drawing>
          <wp:inline distT="0" distB="0" distL="0" distR="0" wp14:anchorId="4DD0AD0D" wp14:editId="299C9D83">
            <wp:extent cx="5604987" cy="310580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4864" r="4615"/>
                    <a:stretch/>
                  </pic:blipFill>
                  <pic:spPr bwMode="auto">
                    <a:xfrm>
                      <a:off x="0" y="0"/>
                      <a:ext cx="5648255" cy="3129782"/>
                    </a:xfrm>
                    <a:prstGeom prst="rect">
                      <a:avLst/>
                    </a:prstGeom>
                    <a:ln>
                      <a:noFill/>
                    </a:ln>
                    <a:extLst>
                      <a:ext uri="{53640926-AAD7-44D8-BBD7-CCE9431645EC}">
                        <a14:shadowObscured xmlns:a14="http://schemas.microsoft.com/office/drawing/2010/main"/>
                      </a:ext>
                    </a:extLst>
                  </pic:spPr>
                </pic:pic>
              </a:graphicData>
            </a:graphic>
          </wp:inline>
        </w:drawing>
      </w:r>
    </w:p>
    <w:p w:rsidRPr="00647C00" w:rsidR="00A73EC8" w:rsidP="00A73EC8" w:rsidRDefault="00A73EC8" w14:paraId="52DC7097" w14:textId="2FF6BD04">
      <w:pPr>
        <w:keepNext/>
        <w:jc w:val="center"/>
      </w:pPr>
    </w:p>
    <w:p w:rsidRPr="000C4A75" w:rsidR="000C4A75" w:rsidP="00A73EC8" w:rsidRDefault="000C4A75" w14:paraId="56F55786" w14:textId="77777777">
      <w:pPr>
        <w:jc w:val="center"/>
        <w:rPr>
          <w:b/>
          <w:bCs/>
          <w:sz w:val="6"/>
          <w:szCs w:val="6"/>
        </w:rPr>
      </w:pPr>
    </w:p>
    <w:p w:rsidRPr="00647C00" w:rsidR="00A73EC8" w:rsidP="00A73EC8" w:rsidRDefault="00A73EC8" w14:paraId="6DD833D5" w14:textId="1034FBBE">
      <w:pPr>
        <w:jc w:val="center"/>
        <w:rPr>
          <w:b/>
          <w:bCs/>
        </w:rPr>
      </w:pPr>
      <w:r w:rsidRPr="00647C00">
        <w:rPr>
          <w:b/>
          <w:bCs/>
        </w:rPr>
        <w:t>Figure</w:t>
      </w:r>
      <w:r w:rsidR="00EF431B">
        <w:rPr>
          <w:b/>
          <w:bCs/>
        </w:rPr>
        <w:t xml:space="preserve"> </w:t>
      </w:r>
      <w:r w:rsidR="0094140C">
        <w:rPr>
          <w:b/>
          <w:bCs/>
        </w:rPr>
        <w:t>1</w:t>
      </w:r>
      <w:r w:rsidRPr="00647C00">
        <w:rPr>
          <w:b/>
          <w:bCs/>
        </w:rPr>
        <w:t xml:space="preserve">: FR1, </w:t>
      </w:r>
      <w:proofErr w:type="spellStart"/>
      <w:r w:rsidRPr="00647C00">
        <w:rPr>
          <w:b/>
          <w:bCs/>
        </w:rPr>
        <w:t>UMa</w:t>
      </w:r>
      <w:proofErr w:type="spellEnd"/>
      <w:r w:rsidR="00871FBA">
        <w:rPr>
          <w:b/>
          <w:bCs/>
        </w:rPr>
        <w:t>-</w:t>
      </w:r>
      <w:r w:rsidR="001858E7">
        <w:rPr>
          <w:rFonts w:eastAsia="Wingdings"/>
          <w:b/>
          <w:bCs/>
        </w:rPr>
        <w:t xml:space="preserve"> </w:t>
      </w:r>
      <w:proofErr w:type="spellStart"/>
      <w:r w:rsidRPr="00647C00">
        <w:rPr>
          <w:b/>
          <w:bCs/>
        </w:rPr>
        <w:t>UMa</w:t>
      </w:r>
      <w:proofErr w:type="spellEnd"/>
      <w:r w:rsidRPr="00647C00">
        <w:rPr>
          <w:b/>
          <w:bCs/>
        </w:rPr>
        <w:t>, in-band blocking</w:t>
      </w:r>
      <w:r w:rsidR="00F92075">
        <w:rPr>
          <w:b/>
          <w:bCs/>
        </w:rPr>
        <w:t>, SBFD Aggressor</w:t>
      </w:r>
    </w:p>
    <w:p w:rsidRPr="00647C00" w:rsidR="00A73EC8" w:rsidP="00A73EC8" w:rsidRDefault="00A73EC8" w14:paraId="1A497090" w14:textId="77777777">
      <w:pPr>
        <w:rPr>
          <w:sz w:val="4"/>
          <w:szCs w:val="4"/>
          <w:lang w:eastAsia="ja-JP"/>
        </w:rPr>
      </w:pPr>
    </w:p>
    <w:p w:rsidRPr="00647C00" w:rsidR="00A73EC8" w:rsidP="00A73EC8" w:rsidRDefault="00A73EC8" w14:paraId="0E6FF34C" w14:textId="77777777">
      <w:pPr>
        <w:rPr>
          <w:color w:val="000000" w:themeColor="text1"/>
          <w:sz w:val="22"/>
          <w:szCs w:val="22"/>
          <w:lang w:eastAsia="ja-JP"/>
        </w:rPr>
      </w:pPr>
    </w:p>
    <w:p w:rsidRPr="00647C00" w:rsidR="00A73EC8" w:rsidP="00A73EC8" w:rsidRDefault="00A73EC8" w14:paraId="77D559D0" w14:textId="2D3B7DC9">
      <w:pPr>
        <w:jc w:val="center"/>
        <w:rPr>
          <w:b/>
        </w:rPr>
      </w:pPr>
      <w:r w:rsidRPr="00647C00">
        <w:rPr>
          <w:b/>
        </w:rPr>
        <w:t xml:space="preserve">Table </w:t>
      </w:r>
      <w:r w:rsidR="00DC1FB5">
        <w:rPr>
          <w:b/>
        </w:rPr>
        <w:t>1</w:t>
      </w:r>
      <w:r w:rsidRPr="00647C00">
        <w:rPr>
          <w:b/>
        </w:rPr>
        <w:t xml:space="preserve">: FR1 SBFD </w:t>
      </w:r>
      <w:proofErr w:type="spellStart"/>
      <w:r w:rsidRPr="00647C00">
        <w:rPr>
          <w:b/>
        </w:rPr>
        <w:t>UMa</w:t>
      </w:r>
      <w:proofErr w:type="spellEnd"/>
      <w:r w:rsidR="001858E7">
        <w:rPr>
          <w:b/>
        </w:rPr>
        <w:t xml:space="preserve"> </w:t>
      </w:r>
      <w:r w:rsidR="00DC1FB5">
        <w:rPr>
          <w:rFonts w:eastAsia="Wingdings"/>
          <w:b/>
        </w:rPr>
        <w:t>--</w:t>
      </w:r>
      <w:r w:rsidR="001858E7">
        <w:rPr>
          <w:rFonts w:eastAsia="Wingdings"/>
          <w:b/>
        </w:rPr>
        <w:t xml:space="preserve"> </w:t>
      </w:r>
      <w:proofErr w:type="spellStart"/>
      <w:r w:rsidRPr="00647C00">
        <w:rPr>
          <w:b/>
        </w:rPr>
        <w:t>UMa</w:t>
      </w:r>
      <w:proofErr w:type="spellEnd"/>
      <w:r w:rsidRPr="00647C00">
        <w:rPr>
          <w:b/>
        </w:rPr>
        <w:t xml:space="preserve"> conducted in-band blocking simulation results</w:t>
      </w:r>
    </w:p>
    <w:p w:rsidRPr="00647C00" w:rsidR="00A73EC8" w:rsidP="00A73EC8" w:rsidRDefault="00A73EC8" w14:paraId="4EE36B09" w14:textId="77777777">
      <w:pPr>
        <w:jc w:val="center"/>
        <w:rPr>
          <w:sz w:val="10"/>
          <w:szCs w:val="10"/>
        </w:rPr>
      </w:pPr>
    </w:p>
    <w:tbl>
      <w:tblPr>
        <w:tblW w:w="7095" w:type="dxa"/>
        <w:jc w:val="center"/>
        <w:tblLayout w:type="fixed"/>
        <w:tblLook w:val="04A0" w:firstRow="1" w:lastRow="0" w:firstColumn="1" w:lastColumn="0" w:noHBand="0" w:noVBand="1"/>
      </w:tblPr>
      <w:tblGrid>
        <w:gridCol w:w="3253"/>
        <w:gridCol w:w="1671"/>
        <w:gridCol w:w="2171"/>
      </w:tblGrid>
      <w:tr w:rsidRPr="00647C00" w:rsidR="00A73EC8" w:rsidTr="00A73EC8" w14:paraId="6C77A1E8" w14:textId="77777777">
        <w:trPr>
          <w:trHeight w:val="309"/>
          <w:jc w:val="center"/>
        </w:trPr>
        <w:tc>
          <w:tcPr>
            <w:tcW w:w="3256" w:type="dxa"/>
            <w:vMerge w:val="restart"/>
            <w:tcBorders>
              <w:top w:val="single" w:color="auto" w:sz="4" w:space="0"/>
              <w:left w:val="single" w:color="auto" w:sz="4" w:space="0"/>
              <w:bottom w:val="single" w:color="auto" w:sz="4" w:space="0"/>
              <w:right w:val="single" w:color="auto" w:sz="4" w:space="0"/>
            </w:tcBorders>
            <w:noWrap/>
            <w:vAlign w:val="bottom"/>
            <w:hideMark/>
          </w:tcPr>
          <w:p w:rsidRPr="00647C00" w:rsidR="00A73EC8" w:rsidRDefault="00A73EC8" w14:paraId="058E1675" w14:textId="77777777">
            <w:pPr>
              <w:rPr>
                <w:rFonts w:eastAsia="DengXian"/>
                <w:color w:val="000000"/>
                <w:lang w:val="en-US"/>
              </w:rPr>
            </w:pPr>
            <w:r w:rsidRPr="00647C00">
              <w:rPr>
                <w:rFonts w:eastAsia="DengXian"/>
                <w:color w:val="000000"/>
                <w:lang w:val="en-US"/>
              </w:rPr>
              <w:t xml:space="preserve">　</w:t>
            </w:r>
          </w:p>
        </w:tc>
        <w:tc>
          <w:tcPr>
            <w:tcW w:w="1673" w:type="dxa"/>
            <w:tcBorders>
              <w:top w:val="single" w:color="auto" w:sz="4" w:space="0"/>
              <w:left w:val="nil"/>
              <w:bottom w:val="single" w:color="auto" w:sz="4" w:space="0"/>
              <w:right w:val="single" w:color="auto" w:sz="4" w:space="0"/>
            </w:tcBorders>
            <w:noWrap/>
            <w:vAlign w:val="center"/>
            <w:hideMark/>
          </w:tcPr>
          <w:p w:rsidRPr="00B22E2E" w:rsidR="00A73EC8" w:rsidRDefault="00A73EC8" w14:paraId="37004658" w14:textId="77777777">
            <w:pPr>
              <w:jc w:val="center"/>
              <w:rPr>
                <w:rFonts w:eastAsia="DengXian"/>
                <w:b/>
                <w:bCs/>
                <w:color w:val="000000"/>
                <w:lang w:val="en-US"/>
              </w:rPr>
            </w:pPr>
            <w:r w:rsidRPr="00B22E2E">
              <w:rPr>
                <w:rFonts w:eastAsia="DengXian"/>
                <w:b/>
                <w:bCs/>
                <w:color w:val="000000"/>
                <w:lang w:val="en-US"/>
              </w:rPr>
              <w:t>100% grid-shift</w:t>
            </w:r>
          </w:p>
        </w:tc>
        <w:tc>
          <w:tcPr>
            <w:tcW w:w="2173" w:type="dxa"/>
            <w:tcBorders>
              <w:top w:val="single" w:color="auto" w:sz="4" w:space="0"/>
              <w:left w:val="nil"/>
              <w:bottom w:val="single" w:color="auto" w:sz="4" w:space="0"/>
              <w:right w:val="single" w:color="auto" w:sz="4" w:space="0"/>
            </w:tcBorders>
            <w:vAlign w:val="center"/>
            <w:hideMark/>
          </w:tcPr>
          <w:p w:rsidRPr="00B22E2E" w:rsidR="00A73EC8" w:rsidRDefault="00A73EC8" w14:paraId="20976E85" w14:textId="77777777">
            <w:pPr>
              <w:jc w:val="center"/>
              <w:rPr>
                <w:rFonts w:eastAsia="DengXian"/>
                <w:b/>
                <w:bCs/>
                <w:color w:val="000000"/>
                <w:lang w:val="en-US"/>
              </w:rPr>
            </w:pPr>
            <w:r w:rsidRPr="00B22E2E">
              <w:rPr>
                <w:rFonts w:eastAsia="DengXian"/>
                <w:b/>
                <w:bCs/>
                <w:color w:val="000000"/>
                <w:lang w:val="en-US"/>
              </w:rPr>
              <w:t>10% grid-shift</w:t>
            </w:r>
          </w:p>
        </w:tc>
      </w:tr>
      <w:tr w:rsidRPr="00647C00" w:rsidR="00A73EC8" w:rsidTr="00A73EC8" w14:paraId="2001E523" w14:textId="77777777">
        <w:trPr>
          <w:trHeight w:val="313"/>
          <w:jc w:val="center"/>
        </w:trPr>
        <w:tc>
          <w:tcPr>
            <w:tcW w:w="3256" w:type="dxa"/>
            <w:vMerge/>
            <w:tcBorders>
              <w:top w:val="single" w:color="auto" w:sz="4" w:space="0"/>
              <w:left w:val="single" w:color="auto" w:sz="4" w:space="0"/>
              <w:bottom w:val="single" w:color="auto" w:sz="4" w:space="0"/>
              <w:right w:val="single" w:color="auto" w:sz="4" w:space="0"/>
            </w:tcBorders>
            <w:vAlign w:val="center"/>
            <w:hideMark/>
          </w:tcPr>
          <w:p w:rsidRPr="00647C00" w:rsidR="00A73EC8" w:rsidRDefault="00A73EC8" w14:paraId="448B26F6" w14:textId="77777777">
            <w:pPr>
              <w:rPr>
                <w:rFonts w:eastAsia="DengXian"/>
                <w:color w:val="000000"/>
                <w:lang w:val="en-US"/>
              </w:rPr>
            </w:pPr>
          </w:p>
        </w:tc>
        <w:tc>
          <w:tcPr>
            <w:tcW w:w="1673" w:type="dxa"/>
            <w:tcBorders>
              <w:top w:val="nil"/>
              <w:left w:val="nil"/>
              <w:bottom w:val="single" w:color="auto" w:sz="4" w:space="0"/>
              <w:right w:val="single" w:color="auto" w:sz="4" w:space="0"/>
            </w:tcBorders>
            <w:noWrap/>
            <w:vAlign w:val="center"/>
            <w:hideMark/>
          </w:tcPr>
          <w:p w:rsidRPr="00647C00" w:rsidR="00A73EC8" w:rsidRDefault="00A73EC8" w14:paraId="29627194" w14:textId="77777777">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color="auto" w:sz="4" w:space="0"/>
              <w:right w:val="single" w:color="auto" w:sz="4" w:space="0"/>
            </w:tcBorders>
            <w:vAlign w:val="center"/>
            <w:hideMark/>
          </w:tcPr>
          <w:p w:rsidRPr="00647C00" w:rsidR="00A73EC8" w:rsidRDefault="00A73EC8" w14:paraId="40ABF5CF" w14:textId="77777777">
            <w:pPr>
              <w:jc w:val="center"/>
              <w:rPr>
                <w:rFonts w:eastAsia="DengXian"/>
                <w:color w:val="000000"/>
                <w:lang w:val="en-US"/>
              </w:rPr>
            </w:pPr>
            <w:r w:rsidRPr="00647C00">
              <w:rPr>
                <w:rFonts w:eastAsia="DengXian"/>
                <w:color w:val="000000"/>
                <w:lang w:val="en-US"/>
              </w:rPr>
              <w:t>99% CDF</w:t>
            </w:r>
          </w:p>
        </w:tc>
      </w:tr>
      <w:tr w:rsidRPr="00647C00" w:rsidR="00A73EC8" w:rsidTr="00A73EC8" w14:paraId="3BF971F4" w14:textId="77777777">
        <w:trPr>
          <w:trHeight w:val="307"/>
          <w:jc w:val="center"/>
        </w:trPr>
        <w:tc>
          <w:tcPr>
            <w:tcW w:w="3256" w:type="dxa"/>
            <w:tcBorders>
              <w:top w:val="nil"/>
              <w:left w:val="single" w:color="auto" w:sz="4" w:space="0"/>
              <w:bottom w:val="single" w:color="auto" w:sz="4" w:space="0"/>
              <w:right w:val="single" w:color="auto" w:sz="4" w:space="0"/>
            </w:tcBorders>
            <w:noWrap/>
            <w:vAlign w:val="center"/>
            <w:hideMark/>
          </w:tcPr>
          <w:p w:rsidRPr="00647C00" w:rsidR="00A73EC8" w:rsidRDefault="00A73EC8" w14:paraId="03C02884" w14:textId="77777777">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color="auto" w:sz="4" w:space="0"/>
              <w:right w:val="single" w:color="auto" w:sz="4" w:space="0"/>
            </w:tcBorders>
            <w:noWrap/>
            <w:vAlign w:val="center"/>
            <w:hideMark/>
          </w:tcPr>
          <w:p w:rsidRPr="00647C00" w:rsidR="00A73EC8" w:rsidRDefault="00A73EC8" w14:paraId="7DDEF749" w14:textId="3B9D54DC">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30</w:t>
            </w:r>
            <w:r w:rsidRPr="00647C00">
              <w:rPr>
                <w:rFonts w:eastAsia="DengXian"/>
                <w:color w:val="000000"/>
                <w:lang w:val="en-US"/>
              </w:rPr>
              <w:t>.4</w:t>
            </w:r>
            <w:r w:rsidR="00BC6B59">
              <w:rPr>
                <w:rFonts w:eastAsia="DengXian"/>
                <w:color w:val="000000"/>
                <w:lang w:val="en-US"/>
              </w:rPr>
              <w:t>7</w:t>
            </w:r>
          </w:p>
        </w:tc>
        <w:tc>
          <w:tcPr>
            <w:tcW w:w="2173" w:type="dxa"/>
            <w:tcBorders>
              <w:top w:val="nil"/>
              <w:left w:val="nil"/>
              <w:bottom w:val="single" w:color="auto" w:sz="4" w:space="0"/>
              <w:right w:val="single" w:color="auto" w:sz="4" w:space="0"/>
            </w:tcBorders>
            <w:vAlign w:val="center"/>
            <w:hideMark/>
          </w:tcPr>
          <w:p w:rsidRPr="00647C00" w:rsidR="00A73EC8" w:rsidRDefault="00A73EC8" w14:paraId="6DC1B995" w14:textId="338A4B6A">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w:t>
            </w:r>
            <w:r w:rsidRPr="00647C00">
              <w:rPr>
                <w:rFonts w:eastAsia="DengXian"/>
                <w:color w:val="000000"/>
                <w:lang w:val="en-US"/>
              </w:rPr>
              <w:t>.82</w:t>
            </w:r>
          </w:p>
        </w:tc>
      </w:tr>
    </w:tbl>
    <w:p w:rsidRPr="00DC1FB5" w:rsidR="00A73EC8" w:rsidP="00A73EC8" w:rsidRDefault="00A73EC8" w14:paraId="6B957BF9" w14:textId="77777777">
      <w:pPr>
        <w:jc w:val="both"/>
        <w:rPr>
          <w:sz w:val="12"/>
          <w:szCs w:val="12"/>
          <w:lang w:eastAsia="ja-JP"/>
        </w:rPr>
      </w:pPr>
    </w:p>
    <w:p w:rsidR="00F10359" w:rsidP="00A73EC8" w:rsidRDefault="00F10359" w14:paraId="340CC42A" w14:textId="77777777">
      <w:pPr>
        <w:jc w:val="both"/>
        <w:rPr>
          <w:sz w:val="22"/>
          <w:szCs w:val="22"/>
          <w:lang w:eastAsia="ja-JP"/>
        </w:rPr>
      </w:pPr>
    </w:p>
    <w:p w:rsidRPr="00647C00" w:rsidR="00A73EC8" w:rsidP="00A73EC8" w:rsidRDefault="06B204F2" w14:paraId="60C1F398" w14:textId="7853706B">
      <w:pPr>
        <w:jc w:val="both"/>
        <w:rPr>
          <w:b/>
          <w:bCs/>
          <w:sz w:val="22"/>
          <w:szCs w:val="22"/>
          <w:highlight w:val="yellow"/>
        </w:rPr>
      </w:pPr>
      <w:r w:rsidRPr="6C9906A2">
        <w:rPr>
          <w:sz w:val="22"/>
          <w:szCs w:val="22"/>
          <w:lang w:eastAsia="ja-JP"/>
        </w:rPr>
        <w:t>T</w:t>
      </w:r>
      <w:r w:rsidRPr="6C9906A2" w:rsidR="00A73EC8">
        <w:rPr>
          <w:sz w:val="22"/>
          <w:szCs w:val="22"/>
          <w:lang w:eastAsia="ja-JP"/>
        </w:rPr>
        <w:t xml:space="preserve">he in-band blocking requirement is defined for the 99%-tile of the CDF of the received UL wideband interference power. From Figure </w:t>
      </w:r>
      <w:r w:rsidR="00DC1FB5">
        <w:rPr>
          <w:sz w:val="22"/>
          <w:szCs w:val="22"/>
          <w:lang w:eastAsia="ja-JP"/>
        </w:rPr>
        <w:t>1</w:t>
      </w:r>
      <w:r w:rsidRPr="6C9906A2" w:rsidR="00A73EC8">
        <w:rPr>
          <w:sz w:val="22"/>
          <w:szCs w:val="22"/>
          <w:lang w:eastAsia="ja-JP"/>
        </w:rPr>
        <w:t>, it can be observed that the in-band blocking requirement is higher as the grid shift decreases. It can also be observed that for the 100% grid shift case, the 99 percentile of the in-band blocking power is 1</w:t>
      </w:r>
      <w:r w:rsidR="00A22097">
        <w:rPr>
          <w:sz w:val="22"/>
          <w:szCs w:val="22"/>
          <w:lang w:eastAsia="ja-JP"/>
        </w:rPr>
        <w:t>3</w:t>
      </w:r>
      <w:r w:rsidRPr="6C9906A2" w:rsidR="00A73EC8">
        <w:rPr>
          <w:sz w:val="22"/>
          <w:szCs w:val="22"/>
          <w:lang w:eastAsia="ja-JP"/>
        </w:rPr>
        <w:t>.54 dBm, and for the 10% grid shift case, it is approximately 4</w:t>
      </w:r>
      <w:r w:rsidR="00A22097">
        <w:rPr>
          <w:sz w:val="22"/>
          <w:szCs w:val="22"/>
          <w:lang w:eastAsia="ja-JP"/>
        </w:rPr>
        <w:t>0</w:t>
      </w:r>
      <w:r w:rsidRPr="6C9906A2" w:rsidR="00A73EC8">
        <w:rPr>
          <w:sz w:val="22"/>
          <w:szCs w:val="22"/>
          <w:lang w:eastAsia="ja-JP"/>
        </w:rPr>
        <w:t>.18 dB above the currently specified in-band blocking requirement (-43 dBm) for Wide Area BS, respectively.</w:t>
      </w:r>
    </w:p>
    <w:p w:rsidRPr="00647C00" w:rsidR="00A73EC8" w:rsidP="00A73EC8" w:rsidRDefault="00A73EC8" w14:paraId="0BAAFD0B" w14:textId="77777777">
      <w:pPr>
        <w:jc w:val="both"/>
        <w:rPr>
          <w:b/>
          <w:bCs/>
          <w:sz w:val="22"/>
          <w:szCs w:val="22"/>
          <w:highlight w:val="yellow"/>
        </w:rPr>
      </w:pPr>
    </w:p>
    <w:p w:rsidR="00A73EC8" w:rsidP="00A73EC8" w:rsidRDefault="00CF43A4" w14:paraId="39BA34E9" w14:textId="76ABC3B4">
      <w:pPr>
        <w:jc w:val="both"/>
        <w:rPr>
          <w:b/>
          <w:sz w:val="22"/>
          <w:szCs w:val="22"/>
          <w:lang w:eastAsia="ja-JP"/>
        </w:rPr>
      </w:pPr>
      <w:bookmarkStart w:name="_Hlk188364354" w:id="11"/>
      <w:r w:rsidRPr="00CF43A4">
        <w:rPr>
          <w:b/>
          <w:bCs/>
          <w:sz w:val="22"/>
          <w:szCs w:val="22"/>
          <w:lang w:eastAsia="ja-JP"/>
        </w:rPr>
        <w:t xml:space="preserve">Observation </w:t>
      </w:r>
      <w:r w:rsidR="00DC1FB5">
        <w:rPr>
          <w:b/>
          <w:bCs/>
          <w:sz w:val="22"/>
          <w:szCs w:val="22"/>
          <w:lang w:eastAsia="ja-JP"/>
        </w:rPr>
        <w:t>1</w:t>
      </w:r>
      <w:r w:rsidRPr="00CF43A4">
        <w:rPr>
          <w:b/>
          <w:bCs/>
          <w:sz w:val="22"/>
          <w:szCs w:val="22"/>
          <w:lang w:eastAsia="ja-JP"/>
        </w:rPr>
        <w:t xml:space="preserve">: For </w:t>
      </w:r>
      <w:proofErr w:type="spellStart"/>
      <w:r w:rsidRPr="00CF43A4">
        <w:rPr>
          <w:b/>
          <w:bCs/>
          <w:sz w:val="22"/>
          <w:szCs w:val="22"/>
          <w:lang w:eastAsia="ja-JP"/>
        </w:rPr>
        <w:t>UMa</w:t>
      </w:r>
      <w:proofErr w:type="spellEnd"/>
      <w:r w:rsidRPr="00CF43A4">
        <w:rPr>
          <w:b/>
          <w:bCs/>
          <w:sz w:val="22"/>
          <w:szCs w:val="22"/>
          <w:lang w:eastAsia="ja-JP"/>
        </w:rPr>
        <w:t xml:space="preserve"> deployments with SBFD as the aggressor network and a 100% grid shift, the 99th percentile of in-band blocking power is 13.54 dBm. With a 10% grid shift, the in-band blocking power is approximately 40.18 dB above the current threshold of -43 dBm.</w:t>
      </w:r>
    </w:p>
    <w:bookmarkEnd w:id="11"/>
    <w:p w:rsidRPr="00647C00" w:rsidR="007C1F65" w:rsidP="00A73EC8" w:rsidRDefault="007C1F65" w14:paraId="39D098EF" w14:textId="77777777">
      <w:pPr>
        <w:jc w:val="both"/>
        <w:rPr>
          <w:b/>
          <w:bCs/>
          <w:sz w:val="22"/>
          <w:szCs w:val="22"/>
        </w:rPr>
      </w:pPr>
    </w:p>
    <w:p w:rsidRPr="00647C00" w:rsidR="00A73EC8" w:rsidP="00A73EC8" w:rsidRDefault="00C7062E" w14:paraId="378CA50A" w14:textId="1B693AEB">
      <w:pPr>
        <w:jc w:val="center"/>
      </w:pPr>
      <w:r w:rsidRPr="00647C00">
        <w:rPr>
          <w:noProof/>
        </w:rPr>
        <w:drawing>
          <wp:inline distT="0" distB="0" distL="0" distR="0" wp14:anchorId="2F061799" wp14:editId="775D0726">
            <wp:extent cx="6034506" cy="3184634"/>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t="4742" r="2826"/>
                    <a:stretch>
                      <a:fillRect/>
                    </a:stretch>
                  </pic:blipFill>
                  <pic:spPr bwMode="auto">
                    <a:xfrm>
                      <a:off x="0" y="0"/>
                      <a:ext cx="6053319" cy="3194562"/>
                    </a:xfrm>
                    <a:prstGeom prst="rect">
                      <a:avLst/>
                    </a:prstGeom>
                    <a:noFill/>
                    <a:ln>
                      <a:noFill/>
                    </a:ln>
                  </pic:spPr>
                </pic:pic>
              </a:graphicData>
            </a:graphic>
          </wp:inline>
        </w:drawing>
      </w:r>
    </w:p>
    <w:p w:rsidRPr="00647C00" w:rsidR="00A73EC8" w:rsidP="00A73EC8" w:rsidRDefault="00A73EC8" w14:paraId="29A434AB" w14:textId="6503B2A9">
      <w:pPr>
        <w:keepNext/>
        <w:jc w:val="center"/>
      </w:pPr>
    </w:p>
    <w:p w:rsidRPr="00E17E26" w:rsidR="00A73EC8" w:rsidP="00DC1FB5" w:rsidRDefault="00A73EC8" w14:paraId="1B855B44" w14:textId="3A2F8640">
      <w:pPr>
        <w:jc w:val="center"/>
        <w:rPr>
          <w:b/>
          <w:bCs/>
        </w:rPr>
      </w:pPr>
      <w:r w:rsidRPr="00E17E26">
        <w:rPr>
          <w:b/>
          <w:bCs/>
        </w:rPr>
        <w:t xml:space="preserve">Figure </w:t>
      </w:r>
      <w:r w:rsidR="00DC1FB5">
        <w:rPr>
          <w:b/>
          <w:bCs/>
        </w:rPr>
        <w:t>2</w:t>
      </w:r>
      <w:r w:rsidRPr="00E17E26">
        <w:rPr>
          <w:b/>
          <w:bCs/>
        </w:rPr>
        <w:t xml:space="preserve">: FR1, </w:t>
      </w:r>
      <w:proofErr w:type="spellStart"/>
      <w:r w:rsidRPr="00E17E26">
        <w:rPr>
          <w:b/>
          <w:bCs/>
        </w:rPr>
        <w:t>UMa</w:t>
      </w:r>
      <w:proofErr w:type="spellEnd"/>
      <w:r w:rsidR="002751E1">
        <w:rPr>
          <w:b/>
          <w:bCs/>
        </w:rPr>
        <w:t>—different power levels</w:t>
      </w:r>
      <w:r w:rsidR="00E4634D">
        <w:rPr>
          <w:b/>
          <w:bCs/>
        </w:rPr>
        <w:t>,</w:t>
      </w:r>
      <w:r w:rsidR="00F746E7">
        <w:rPr>
          <w:b/>
          <w:bCs/>
        </w:rPr>
        <w:t xml:space="preserve"> SBFD Aggressor</w:t>
      </w:r>
    </w:p>
    <w:p w:rsidRPr="00647C00" w:rsidR="00A73EC8" w:rsidP="00A73EC8" w:rsidRDefault="00A73EC8" w14:paraId="660AFCB1" w14:textId="77777777">
      <w:pPr>
        <w:rPr>
          <w:color w:val="000000" w:themeColor="text1"/>
          <w:sz w:val="12"/>
          <w:szCs w:val="12"/>
          <w:lang w:eastAsia="ja-JP"/>
        </w:rPr>
      </w:pPr>
    </w:p>
    <w:p w:rsidR="00A73EC8" w:rsidP="006528DF" w:rsidRDefault="00A73EC8" w14:paraId="4E8D0CF5" w14:textId="20283160">
      <w:pPr>
        <w:jc w:val="both"/>
        <w:rPr>
          <w:color w:val="000000" w:themeColor="text1"/>
          <w:sz w:val="22"/>
          <w:szCs w:val="22"/>
          <w:lang w:eastAsia="ja-JP"/>
        </w:rPr>
      </w:pPr>
      <w:r w:rsidRPr="00647C00">
        <w:rPr>
          <w:color w:val="000000" w:themeColor="text1"/>
          <w:sz w:val="22"/>
          <w:szCs w:val="22"/>
          <w:lang w:eastAsia="ja-JP"/>
        </w:rPr>
        <w:t xml:space="preserve">In Figure </w:t>
      </w:r>
      <w:r w:rsidR="00DC1FB5">
        <w:rPr>
          <w:color w:val="000000" w:themeColor="text1"/>
          <w:sz w:val="22"/>
          <w:szCs w:val="22"/>
          <w:lang w:eastAsia="ja-JP"/>
        </w:rPr>
        <w:t>2</w:t>
      </w:r>
      <w:r w:rsidRPr="00647C00">
        <w:rPr>
          <w:color w:val="000000" w:themeColor="text1"/>
          <w:sz w:val="22"/>
          <w:szCs w:val="22"/>
          <w:lang w:eastAsia="ja-JP"/>
        </w:rPr>
        <w:t xml:space="preserve">, we have plotted the distributions of received power levels, considering 10% grid shift for this simulation scenario. We have captured adjacent channel </w:t>
      </w:r>
      <w:proofErr w:type="spellStart"/>
      <w:r w:rsidRPr="00647C00">
        <w:rPr>
          <w:color w:val="000000" w:themeColor="text1"/>
          <w:sz w:val="22"/>
          <w:szCs w:val="22"/>
          <w:lang w:eastAsia="ja-JP"/>
        </w:rPr>
        <w:t>gNB</w:t>
      </w:r>
      <w:proofErr w:type="spellEnd"/>
      <w:r w:rsidRPr="00647C00">
        <w:rPr>
          <w:color w:val="000000" w:themeColor="text1"/>
          <w:sz w:val="22"/>
          <w:szCs w:val="22"/>
          <w:lang w:eastAsia="ja-JP"/>
        </w:rPr>
        <w:t xml:space="preserve"> DL power level, co-channel </w:t>
      </w:r>
      <w:proofErr w:type="spellStart"/>
      <w:r w:rsidRPr="00647C00">
        <w:rPr>
          <w:color w:val="000000" w:themeColor="text1"/>
          <w:sz w:val="22"/>
          <w:szCs w:val="22"/>
          <w:lang w:eastAsia="ja-JP"/>
        </w:rPr>
        <w:t>gNB</w:t>
      </w:r>
      <w:proofErr w:type="spellEnd"/>
      <w:r w:rsidRPr="00647C00">
        <w:rPr>
          <w:color w:val="000000" w:themeColor="text1"/>
          <w:sz w:val="22"/>
          <w:szCs w:val="22"/>
          <w:lang w:eastAsia="ja-JP"/>
        </w:rPr>
        <w:t xml:space="preserve"> DL power level, co-channel UE</w:t>
      </w:r>
      <w:r w:rsidR="00E17E26">
        <w:rPr>
          <w:color w:val="000000" w:themeColor="text1"/>
          <w:sz w:val="22"/>
          <w:szCs w:val="22"/>
          <w:lang w:eastAsia="ja-JP"/>
        </w:rPr>
        <w:t>-</w:t>
      </w:r>
      <w:r w:rsidRPr="00647C00">
        <w:rPr>
          <w:color w:val="000000" w:themeColor="text1"/>
          <w:sz w:val="22"/>
          <w:szCs w:val="22"/>
          <w:lang w:eastAsia="ja-JP"/>
        </w:rPr>
        <w:t>UL power level, and wanted signal level. The results show that for 10% grid shift, adjacent channel interference power is dominating the total interference.</w:t>
      </w:r>
      <w:r w:rsidR="00C85900">
        <w:rPr>
          <w:color w:val="000000" w:themeColor="text1"/>
          <w:sz w:val="22"/>
          <w:szCs w:val="22"/>
          <w:lang w:eastAsia="ja-JP"/>
        </w:rPr>
        <w:t xml:space="preserve"> This study is also </w:t>
      </w:r>
      <w:r w:rsidR="00A7265F">
        <w:rPr>
          <w:color w:val="000000" w:themeColor="text1"/>
          <w:sz w:val="22"/>
          <w:szCs w:val="22"/>
          <w:lang w:eastAsia="ja-JP"/>
        </w:rPr>
        <w:t>available</w:t>
      </w:r>
      <w:r w:rsidR="00C85900">
        <w:rPr>
          <w:color w:val="000000" w:themeColor="text1"/>
          <w:sz w:val="22"/>
          <w:szCs w:val="22"/>
          <w:lang w:eastAsia="ja-JP"/>
        </w:rPr>
        <w:t xml:space="preserve"> in </w:t>
      </w:r>
      <w:r w:rsidR="00A7265F">
        <w:rPr>
          <w:color w:val="000000" w:themeColor="text1"/>
          <w:sz w:val="22"/>
          <w:szCs w:val="22"/>
          <w:lang w:eastAsia="ja-JP"/>
        </w:rPr>
        <w:t xml:space="preserve">our previous </w:t>
      </w:r>
      <w:r w:rsidRPr="001E594C" w:rsidR="00733682">
        <w:rPr>
          <w:color w:val="000000" w:themeColor="text1"/>
          <w:sz w:val="22"/>
          <w:szCs w:val="22"/>
          <w:lang w:eastAsia="ja-JP"/>
        </w:rPr>
        <w:t>contribution [</w:t>
      </w:r>
      <w:r w:rsidR="00F10359">
        <w:rPr>
          <w:color w:val="000000" w:themeColor="text1"/>
          <w:sz w:val="22"/>
          <w:szCs w:val="22"/>
          <w:lang w:eastAsia="ja-JP"/>
        </w:rPr>
        <w:t>3</w:t>
      </w:r>
      <w:r w:rsidRPr="001E594C" w:rsidR="00A7265F">
        <w:rPr>
          <w:color w:val="000000" w:themeColor="text1"/>
          <w:sz w:val="22"/>
          <w:szCs w:val="22"/>
          <w:lang w:eastAsia="ja-JP"/>
        </w:rPr>
        <w:t>].</w:t>
      </w:r>
      <w:r w:rsidR="00C85900">
        <w:rPr>
          <w:color w:val="000000" w:themeColor="text1"/>
          <w:sz w:val="22"/>
          <w:szCs w:val="22"/>
          <w:lang w:eastAsia="ja-JP"/>
        </w:rPr>
        <w:t xml:space="preserve"> </w:t>
      </w:r>
    </w:p>
    <w:p w:rsidRPr="00647C00" w:rsidR="00E1433F" w:rsidP="006528DF" w:rsidRDefault="00E1433F" w14:paraId="1652AEB9" w14:textId="77777777">
      <w:pPr>
        <w:jc w:val="both"/>
      </w:pPr>
    </w:p>
    <w:p w:rsidRPr="00647C00" w:rsidR="00A73EC8" w:rsidP="00A73EC8" w:rsidRDefault="00CF43A4" w14:paraId="1436FA1C" w14:textId="7F5D360F">
      <w:pPr>
        <w:jc w:val="both"/>
        <w:rPr>
          <w:b/>
          <w:bCs/>
          <w:sz w:val="22"/>
          <w:szCs w:val="22"/>
          <w:lang w:val="en-US"/>
        </w:rPr>
      </w:pPr>
      <w:bookmarkStart w:name="_Hlk188364375" w:id="12"/>
      <w:r w:rsidRPr="00CF43A4">
        <w:rPr>
          <w:b/>
          <w:bCs/>
          <w:sz w:val="22"/>
          <w:szCs w:val="22"/>
          <w:lang w:val="en-US"/>
        </w:rPr>
        <w:t xml:space="preserve">Observation </w:t>
      </w:r>
      <w:r w:rsidR="00547F7E">
        <w:rPr>
          <w:b/>
          <w:bCs/>
          <w:sz w:val="22"/>
          <w:szCs w:val="22"/>
          <w:lang w:val="en-US"/>
        </w:rPr>
        <w:t>2</w:t>
      </w:r>
      <w:r w:rsidRPr="00CF43A4">
        <w:rPr>
          <w:b/>
          <w:bCs/>
          <w:sz w:val="22"/>
          <w:szCs w:val="22"/>
          <w:lang w:val="en-US"/>
        </w:rPr>
        <w:t xml:space="preserve">: For a 10% grid shift, adjacent channel CLI power dominates the total in-band blocking power. </w:t>
      </w:r>
      <w:proofErr w:type="spellStart"/>
      <w:r w:rsidRPr="00CF43A4">
        <w:rPr>
          <w:b/>
          <w:bCs/>
          <w:sz w:val="22"/>
          <w:szCs w:val="22"/>
          <w:lang w:val="en-US"/>
        </w:rPr>
        <w:t>gNB</w:t>
      </w:r>
      <w:proofErr w:type="spellEnd"/>
      <w:r w:rsidRPr="00CF43A4">
        <w:rPr>
          <w:b/>
          <w:bCs/>
          <w:sz w:val="22"/>
          <w:szCs w:val="22"/>
          <w:lang w:val="en-US"/>
        </w:rPr>
        <w:t>-to-</w:t>
      </w:r>
      <w:proofErr w:type="spellStart"/>
      <w:r w:rsidRPr="00CF43A4">
        <w:rPr>
          <w:b/>
          <w:bCs/>
          <w:sz w:val="22"/>
          <w:szCs w:val="22"/>
          <w:lang w:val="en-US"/>
        </w:rPr>
        <w:t>gNB</w:t>
      </w:r>
      <w:proofErr w:type="spellEnd"/>
      <w:r w:rsidRPr="00CF43A4">
        <w:rPr>
          <w:b/>
          <w:bCs/>
          <w:sz w:val="22"/>
          <w:szCs w:val="22"/>
          <w:lang w:val="en-US"/>
        </w:rPr>
        <w:t xml:space="preserve"> CLI handling schemes or deployment restrictions are required to mitigate this impact.</w:t>
      </w:r>
    </w:p>
    <w:p w:rsidRPr="00647C00" w:rsidR="00A73EC8" w:rsidP="00A73EC8" w:rsidRDefault="00A73EC8" w14:paraId="43B50BFC" w14:textId="77777777">
      <w:pPr>
        <w:rPr>
          <w:b/>
          <w:sz w:val="22"/>
          <w:szCs w:val="22"/>
        </w:rPr>
      </w:pPr>
      <w:bookmarkStart w:name="_Hlk188364407" w:id="13"/>
      <w:bookmarkEnd w:id="12"/>
    </w:p>
    <w:p w:rsidR="00A73EC8" w:rsidP="0CDA97C4" w:rsidRDefault="00A73EC8" w14:paraId="1399A049" w14:textId="4E2D95E7">
      <w:pPr>
        <w:jc w:val="both"/>
        <w:rPr>
          <w:b/>
          <w:bCs/>
          <w:sz w:val="22"/>
          <w:szCs w:val="22"/>
          <w:lang w:val="en-US"/>
        </w:rPr>
      </w:pPr>
      <w:r w:rsidRPr="0CDA97C4">
        <w:rPr>
          <w:b/>
          <w:bCs/>
          <w:sz w:val="22"/>
          <w:szCs w:val="22"/>
        </w:rPr>
        <w:t xml:space="preserve">Proposal </w:t>
      </w:r>
      <w:r w:rsidR="001364A8">
        <w:rPr>
          <w:b/>
          <w:bCs/>
          <w:sz w:val="22"/>
          <w:szCs w:val="22"/>
        </w:rPr>
        <w:t>2</w:t>
      </w:r>
      <w:r w:rsidRPr="0CDA97C4" w:rsidR="04DC987E">
        <w:rPr>
          <w:b/>
          <w:bCs/>
          <w:sz w:val="22"/>
          <w:szCs w:val="22"/>
        </w:rPr>
        <w:t>:</w:t>
      </w:r>
      <w:r w:rsidRPr="0CDA97C4">
        <w:rPr>
          <w:b/>
          <w:bCs/>
          <w:sz w:val="22"/>
          <w:szCs w:val="22"/>
        </w:rPr>
        <w:t xml:space="preserve">  </w:t>
      </w:r>
      <w:r w:rsidRPr="00A51EC9" w:rsidR="00A51EC9">
        <w:rPr>
          <w:b/>
          <w:bCs/>
          <w:sz w:val="22"/>
          <w:szCs w:val="22"/>
        </w:rPr>
        <w:t>For the 10% GS requirement, interference and in-band blocking should be evaluated after RAN1 studies CLI handling for adjacent channels or relevant deployment restrictions</w:t>
      </w:r>
      <w:r w:rsidRPr="0CDA97C4" w:rsidR="420B4EF2">
        <w:rPr>
          <w:b/>
          <w:bCs/>
          <w:sz w:val="22"/>
          <w:szCs w:val="22"/>
          <w:lang w:val="en-US"/>
        </w:rPr>
        <w:t>.</w:t>
      </w:r>
    </w:p>
    <w:p w:rsidR="00E1433F" w:rsidP="00A73EC8" w:rsidRDefault="00E1433F" w14:paraId="773A0F94" w14:textId="77777777">
      <w:pPr>
        <w:jc w:val="both"/>
        <w:rPr>
          <w:b/>
          <w:sz w:val="22"/>
          <w:szCs w:val="22"/>
          <w:lang w:val="en-US"/>
        </w:rPr>
      </w:pPr>
    </w:p>
    <w:bookmarkEnd w:id="13"/>
    <w:p w:rsidRPr="0094140C" w:rsidR="00E1433F" w:rsidP="00D02FBA" w:rsidRDefault="00E1433F" w14:paraId="62D88FCF" w14:textId="4B65789F">
      <w:pPr>
        <w:pStyle w:val="Heading4"/>
        <w:rPr>
          <w:rFonts w:ascii="Times New Roman" w:hAnsi="Times New Roman" w:cs="Times New Roman"/>
          <w:i/>
          <w:iCs w:val="0"/>
          <w:lang w:val="en-IN" w:eastAsia="en-IN"/>
        </w:rPr>
      </w:pPr>
      <w:r w:rsidRPr="0094140C">
        <w:rPr>
          <w:rFonts w:ascii="Times New Roman" w:hAnsi="Times New Roman" w:cs="Times New Roman"/>
          <w:i/>
          <w:iCs w:val="0"/>
          <w:lang w:val="en-IN" w:eastAsia="en-IN"/>
        </w:rPr>
        <w:t xml:space="preserve">TDD Aggressor </w:t>
      </w:r>
    </w:p>
    <w:p w:rsidR="00E1433F" w:rsidP="00335A58" w:rsidRDefault="00E1433F" w14:paraId="2911EAC4" w14:textId="765DA96E">
      <w:pPr>
        <w:ind w:firstLine="142"/>
        <w:jc w:val="both"/>
        <w:rPr>
          <w:sz w:val="22"/>
          <w:szCs w:val="22"/>
          <w:lang w:eastAsia="ja-JP"/>
        </w:rPr>
      </w:pPr>
      <w:r w:rsidRPr="00647C00">
        <w:rPr>
          <w:sz w:val="22"/>
          <w:szCs w:val="22"/>
          <w:lang w:eastAsia="ja-JP"/>
        </w:rPr>
        <w:t xml:space="preserve">We consider a coexistence scenario where </w:t>
      </w:r>
      <w:proofErr w:type="spellStart"/>
      <w:r w:rsidRPr="00647C00">
        <w:rPr>
          <w:sz w:val="22"/>
          <w:szCs w:val="22"/>
          <w:lang w:eastAsia="ja-JP"/>
        </w:rPr>
        <w:t>UMa</w:t>
      </w:r>
      <w:proofErr w:type="spellEnd"/>
      <w:r w:rsidRPr="00647C00">
        <w:rPr>
          <w:sz w:val="22"/>
          <w:szCs w:val="22"/>
          <w:lang w:eastAsia="ja-JP"/>
        </w:rPr>
        <w:t xml:space="preserve"> deployments of two different operators are deployed in the same area and in adjacent channels. The first operator (victim) deploys a SBFD network, while the second operator (aggressor) deploys a TDD network. We are interested in evaluating the wideband interference power received by the UL of the SBFD operator from the DL of the TDD operator. The default noise figure model defined in the 38.858 Annex </w:t>
      </w:r>
      <w:r w:rsidRPr="00BC7995">
        <w:rPr>
          <w:sz w:val="22"/>
          <w:szCs w:val="22"/>
          <w:lang w:eastAsia="ja-JP"/>
        </w:rPr>
        <w:t>E [</w:t>
      </w:r>
      <w:r w:rsidR="00F10359">
        <w:rPr>
          <w:sz w:val="22"/>
          <w:szCs w:val="22"/>
          <w:lang w:eastAsia="ja-JP"/>
        </w:rPr>
        <w:t>5</w:t>
      </w:r>
      <w:r w:rsidRPr="00BC7995">
        <w:rPr>
          <w:sz w:val="22"/>
          <w:szCs w:val="22"/>
          <w:lang w:eastAsia="ja-JP"/>
        </w:rPr>
        <w:t>]</w:t>
      </w:r>
      <w:r>
        <w:rPr>
          <w:sz w:val="22"/>
          <w:szCs w:val="22"/>
          <w:lang w:eastAsia="ja-JP"/>
        </w:rPr>
        <w:t xml:space="preserve"> </w:t>
      </w:r>
      <w:r w:rsidRPr="00647C00">
        <w:rPr>
          <w:sz w:val="22"/>
          <w:szCs w:val="22"/>
          <w:lang w:eastAsia="ja-JP"/>
        </w:rPr>
        <w:t>is considered as baseline</w:t>
      </w:r>
      <w:r w:rsidR="00FB57A6">
        <w:rPr>
          <w:sz w:val="22"/>
          <w:szCs w:val="22"/>
          <w:lang w:eastAsia="ja-JP"/>
        </w:rPr>
        <w:t>.</w:t>
      </w:r>
    </w:p>
    <w:p w:rsidR="002751E1" w:rsidP="00FB57A6" w:rsidRDefault="002751E1" w14:paraId="0D22AA7F" w14:textId="77777777">
      <w:pPr>
        <w:keepNext/>
        <w:jc w:val="center"/>
        <w:rPr>
          <w:b/>
          <w:bCs/>
          <w:highlight w:val="yellow"/>
        </w:rPr>
      </w:pPr>
    </w:p>
    <w:p w:rsidR="002751E1" w:rsidP="00FB57A6" w:rsidRDefault="000A0026" w14:paraId="68F8C3C6" w14:textId="2FFF1FF5">
      <w:pPr>
        <w:keepNext/>
        <w:jc w:val="center"/>
        <w:rPr>
          <w:b/>
          <w:bCs/>
          <w:highlight w:val="yellow"/>
        </w:rPr>
      </w:pPr>
      <w:r w:rsidRPr="000A0026">
        <w:rPr>
          <w:b/>
          <w:bCs/>
          <w:noProof/>
        </w:rPr>
        <w:drawing>
          <wp:inline distT="0" distB="0" distL="0" distR="0" wp14:anchorId="6979D0D8" wp14:editId="6FB6D2B7">
            <wp:extent cx="5493316" cy="2837793"/>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067" r="5289"/>
                    <a:stretch/>
                  </pic:blipFill>
                  <pic:spPr bwMode="auto">
                    <a:xfrm>
                      <a:off x="0" y="0"/>
                      <a:ext cx="5522945" cy="2853099"/>
                    </a:xfrm>
                    <a:prstGeom prst="rect">
                      <a:avLst/>
                    </a:prstGeom>
                    <a:ln>
                      <a:noFill/>
                    </a:ln>
                    <a:extLst>
                      <a:ext uri="{53640926-AAD7-44D8-BBD7-CCE9431645EC}">
                        <a14:shadowObscured xmlns:a14="http://schemas.microsoft.com/office/drawing/2010/main"/>
                      </a:ext>
                    </a:extLst>
                  </pic:spPr>
                </pic:pic>
              </a:graphicData>
            </a:graphic>
          </wp:inline>
        </w:drawing>
      </w:r>
    </w:p>
    <w:p w:rsidR="00FB57A6" w:rsidP="00FB57A6" w:rsidRDefault="00FB57A6" w14:paraId="2F5B28FA" w14:textId="3E64B7BF">
      <w:pPr>
        <w:keepNext/>
        <w:jc w:val="center"/>
        <w:rPr>
          <w:b/>
          <w:bCs/>
        </w:rPr>
      </w:pPr>
      <w:r w:rsidRPr="000A0026">
        <w:rPr>
          <w:b/>
          <w:bCs/>
        </w:rPr>
        <w:t xml:space="preserve">Figure </w:t>
      </w:r>
      <w:r w:rsidR="00547F7E">
        <w:rPr>
          <w:b/>
          <w:bCs/>
        </w:rPr>
        <w:t>3</w:t>
      </w:r>
      <w:r w:rsidRPr="000A0026">
        <w:rPr>
          <w:b/>
          <w:bCs/>
        </w:rPr>
        <w:t xml:space="preserve">: </w:t>
      </w:r>
      <w:r w:rsidRPr="000A0026" w:rsidR="002751E1">
        <w:rPr>
          <w:b/>
          <w:bCs/>
        </w:rPr>
        <w:t xml:space="preserve">FR1, </w:t>
      </w:r>
      <w:proofErr w:type="spellStart"/>
      <w:r w:rsidRPr="000A0026" w:rsidR="002751E1">
        <w:rPr>
          <w:b/>
          <w:bCs/>
        </w:rPr>
        <w:t>UMa</w:t>
      </w:r>
      <w:proofErr w:type="spellEnd"/>
      <w:r w:rsidR="007F1678">
        <w:rPr>
          <w:b/>
          <w:bCs/>
        </w:rPr>
        <w:t>--</w:t>
      </w:r>
      <w:r w:rsidRPr="000A0026" w:rsidR="002751E1">
        <w:rPr>
          <w:rFonts w:eastAsia="Wingdings"/>
          <w:b/>
          <w:bCs/>
        </w:rPr>
        <w:t xml:space="preserve"> </w:t>
      </w:r>
      <w:proofErr w:type="spellStart"/>
      <w:r w:rsidRPr="000A0026" w:rsidR="002751E1">
        <w:rPr>
          <w:b/>
          <w:bCs/>
        </w:rPr>
        <w:t>UMa</w:t>
      </w:r>
      <w:proofErr w:type="spellEnd"/>
      <w:r w:rsidRPr="000A0026" w:rsidR="002751E1">
        <w:rPr>
          <w:b/>
          <w:bCs/>
        </w:rPr>
        <w:t>, in-band blocking, TDD Aggressor</w:t>
      </w:r>
      <w:r w:rsidR="00F10359">
        <w:rPr>
          <w:b/>
          <w:bCs/>
        </w:rPr>
        <w:t xml:space="preserve"> [10% and 100% GS]</w:t>
      </w:r>
    </w:p>
    <w:p w:rsidR="000928E7" w:rsidP="00FB57A6" w:rsidRDefault="000928E7" w14:paraId="1278B620" w14:textId="77777777">
      <w:pPr>
        <w:keepNext/>
        <w:jc w:val="center"/>
        <w:rPr>
          <w:b/>
          <w:bCs/>
        </w:rPr>
      </w:pPr>
    </w:p>
    <w:p w:rsidR="000928E7" w:rsidP="00FB57A6" w:rsidRDefault="000928E7" w14:paraId="4D377315" w14:textId="6346C2A5">
      <w:pPr>
        <w:keepNext/>
        <w:jc w:val="center"/>
        <w:rPr>
          <w:b/>
          <w:bCs/>
        </w:rPr>
      </w:pPr>
      <w:r>
        <w:rPr>
          <w:noProof/>
        </w:rPr>
        <w:drawing>
          <wp:inline distT="0" distB="0" distL="0" distR="0" wp14:anchorId="2CA621DD" wp14:editId="0E0EACEF">
            <wp:extent cx="4623149" cy="2522482"/>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5523" r="2032"/>
                    <a:stretch/>
                  </pic:blipFill>
                  <pic:spPr bwMode="auto">
                    <a:xfrm>
                      <a:off x="0" y="0"/>
                      <a:ext cx="4634669" cy="2528768"/>
                    </a:xfrm>
                    <a:prstGeom prst="rect">
                      <a:avLst/>
                    </a:prstGeom>
                    <a:noFill/>
                    <a:ln>
                      <a:noFill/>
                    </a:ln>
                    <a:extLst>
                      <a:ext uri="{53640926-AAD7-44D8-BBD7-CCE9431645EC}">
                        <a14:shadowObscured xmlns:a14="http://schemas.microsoft.com/office/drawing/2010/main"/>
                      </a:ext>
                    </a:extLst>
                  </pic:spPr>
                </pic:pic>
              </a:graphicData>
            </a:graphic>
          </wp:inline>
        </w:drawing>
      </w:r>
    </w:p>
    <w:p w:rsidR="00F10359" w:rsidP="00F10359" w:rsidRDefault="00F10359" w14:paraId="4FC62A6A" w14:textId="17DBE634">
      <w:pPr>
        <w:keepNext/>
        <w:jc w:val="center"/>
        <w:rPr>
          <w:b/>
          <w:bCs/>
        </w:rPr>
      </w:pPr>
      <w:r w:rsidRPr="000A0026">
        <w:rPr>
          <w:b/>
          <w:bCs/>
        </w:rPr>
        <w:t xml:space="preserve">Figure </w:t>
      </w:r>
      <w:r>
        <w:rPr>
          <w:b/>
          <w:bCs/>
        </w:rPr>
        <w:t>4</w:t>
      </w:r>
      <w:r w:rsidRPr="000A0026">
        <w:rPr>
          <w:b/>
          <w:bCs/>
        </w:rPr>
        <w:t xml:space="preserve">: FR1, </w:t>
      </w:r>
      <w:proofErr w:type="spellStart"/>
      <w:r w:rsidRPr="000A0026">
        <w:rPr>
          <w:b/>
          <w:bCs/>
        </w:rPr>
        <w:t>UMa</w:t>
      </w:r>
      <w:proofErr w:type="spellEnd"/>
      <w:r w:rsidR="007F1678">
        <w:rPr>
          <w:b/>
          <w:bCs/>
        </w:rPr>
        <w:t>--</w:t>
      </w:r>
      <w:r w:rsidRPr="000A0026">
        <w:rPr>
          <w:rFonts w:eastAsia="Wingdings"/>
          <w:b/>
          <w:bCs/>
        </w:rPr>
        <w:t xml:space="preserve"> </w:t>
      </w:r>
      <w:proofErr w:type="spellStart"/>
      <w:r w:rsidRPr="000A0026">
        <w:rPr>
          <w:b/>
          <w:bCs/>
        </w:rPr>
        <w:t>UMa</w:t>
      </w:r>
      <w:proofErr w:type="spellEnd"/>
      <w:r w:rsidRPr="000A0026">
        <w:rPr>
          <w:b/>
          <w:bCs/>
        </w:rPr>
        <w:t>, in-band blocking, TDD Aggressor</w:t>
      </w:r>
      <w:r w:rsidR="00AB5D76">
        <w:rPr>
          <w:b/>
          <w:bCs/>
        </w:rPr>
        <w:t xml:space="preserve"> [20</w:t>
      </w:r>
      <w:proofErr w:type="gramStart"/>
      <w:r w:rsidR="00AB5D76">
        <w:rPr>
          <w:b/>
          <w:bCs/>
        </w:rPr>
        <w:t>%  GS</w:t>
      </w:r>
      <w:proofErr w:type="gramEnd"/>
      <w:r w:rsidR="00AB5D76">
        <w:rPr>
          <w:b/>
          <w:bCs/>
        </w:rPr>
        <w:t>]</w:t>
      </w:r>
    </w:p>
    <w:p w:rsidRPr="008F511F" w:rsidR="00F10359" w:rsidP="00FB57A6" w:rsidRDefault="00F10359" w14:paraId="496200D1" w14:textId="77777777" w14:noSpellErr="1">
      <w:pPr>
        <w:keepNext w:val="1"/>
        <w:jc w:val="center"/>
        <w:rPr>
          <w:b w:val="1"/>
          <w:bCs w:val="1"/>
        </w:rPr>
      </w:pPr>
    </w:p>
    <w:p w:rsidR="6E27AAD2" w:rsidP="6E27AAD2" w:rsidRDefault="6E27AAD2" w14:paraId="26295C69" w14:textId="79C65399">
      <w:pPr>
        <w:keepNext w:val="1"/>
        <w:jc w:val="center"/>
        <w:rPr>
          <w:b w:val="1"/>
          <w:bCs w:val="1"/>
        </w:rPr>
      </w:pPr>
    </w:p>
    <w:p w:rsidR="6E27AAD2" w:rsidP="6E27AAD2" w:rsidRDefault="6E27AAD2" w14:paraId="7AC1D2E8" w14:textId="29204B5B">
      <w:pPr>
        <w:keepNext w:val="1"/>
        <w:jc w:val="center"/>
        <w:rPr>
          <w:b w:val="1"/>
          <w:bCs w:val="1"/>
        </w:rPr>
      </w:pPr>
    </w:p>
    <w:p w:rsidR="6E27AAD2" w:rsidP="6E27AAD2" w:rsidRDefault="6E27AAD2" w14:paraId="305B8B5F" w14:textId="25C987E1">
      <w:pPr>
        <w:keepNext w:val="1"/>
        <w:jc w:val="center"/>
        <w:rPr>
          <w:b w:val="1"/>
          <w:bCs w:val="1"/>
        </w:rPr>
      </w:pPr>
    </w:p>
    <w:p w:rsidR="6E27AAD2" w:rsidP="6E27AAD2" w:rsidRDefault="6E27AAD2" w14:paraId="3306F265" w14:textId="2A95A010">
      <w:pPr>
        <w:keepNext w:val="1"/>
        <w:jc w:val="center"/>
        <w:rPr>
          <w:b w:val="1"/>
          <w:bCs w:val="1"/>
        </w:rPr>
      </w:pPr>
    </w:p>
    <w:p w:rsidR="007C7728" w:rsidP="00335A58" w:rsidRDefault="007C7728" w14:paraId="23B4200A" w14:textId="77777777">
      <w:pPr>
        <w:ind w:firstLine="142"/>
        <w:jc w:val="both"/>
        <w:rPr>
          <w:sz w:val="22"/>
          <w:szCs w:val="22"/>
          <w:lang w:eastAsia="ja-JP"/>
        </w:rPr>
      </w:pPr>
    </w:p>
    <w:p w:rsidRPr="00647C00" w:rsidR="007C7728" w:rsidP="007C7728" w:rsidRDefault="007C7728" w14:paraId="73E91084" w14:textId="0E29C451">
      <w:pPr>
        <w:jc w:val="center"/>
        <w:rPr>
          <w:b/>
        </w:rPr>
      </w:pPr>
      <w:r w:rsidRPr="000A0026">
        <w:rPr>
          <w:b/>
        </w:rPr>
        <w:t xml:space="preserve">Table </w:t>
      </w:r>
      <w:r w:rsidR="00845B08">
        <w:rPr>
          <w:b/>
        </w:rPr>
        <w:t>2</w:t>
      </w:r>
      <w:r w:rsidRPr="000A0026">
        <w:rPr>
          <w:b/>
        </w:rPr>
        <w:t xml:space="preserve">: FR1 SBFD </w:t>
      </w:r>
      <w:proofErr w:type="spellStart"/>
      <w:r w:rsidRPr="000A0026">
        <w:rPr>
          <w:b/>
        </w:rPr>
        <w:t>UMa</w:t>
      </w:r>
      <w:proofErr w:type="spellEnd"/>
      <w:r w:rsidRPr="000A0026">
        <w:rPr>
          <w:b/>
        </w:rPr>
        <w:t xml:space="preserve"> </w:t>
      </w:r>
      <w:r w:rsidR="007F1678">
        <w:rPr>
          <w:rFonts w:eastAsia="Wingdings"/>
          <w:b/>
        </w:rPr>
        <w:t>--</w:t>
      </w:r>
      <w:r w:rsidRPr="000A0026">
        <w:rPr>
          <w:rFonts w:eastAsia="Wingdings"/>
          <w:b/>
        </w:rPr>
        <w:t xml:space="preserve"> </w:t>
      </w:r>
      <w:proofErr w:type="spellStart"/>
      <w:r w:rsidRPr="000A0026">
        <w:rPr>
          <w:b/>
        </w:rPr>
        <w:t>UMa</w:t>
      </w:r>
      <w:proofErr w:type="spellEnd"/>
      <w:r w:rsidRPr="000A0026">
        <w:rPr>
          <w:b/>
        </w:rPr>
        <w:t xml:space="preserve"> conducted in-band blocking simulation results</w:t>
      </w:r>
    </w:p>
    <w:p w:rsidR="00E1433F" w:rsidP="00E1433F" w:rsidRDefault="00E1433F" w14:paraId="2F6830A1" w14:textId="77777777">
      <w:pPr>
        <w:jc w:val="both"/>
        <w:rPr>
          <w:rFonts w:eastAsia="Times New Roman"/>
          <w:b/>
          <w:bCs/>
          <w:sz w:val="22"/>
          <w:szCs w:val="22"/>
          <w:lang w:val="en-IN" w:eastAsia="en-IN"/>
        </w:rPr>
      </w:pPr>
    </w:p>
    <w:tbl>
      <w:tblPr>
        <w:tblStyle w:val="TableGrid1"/>
        <w:tblW w:w="9266" w:type="dxa"/>
        <w:tblLayout w:type="fixed"/>
        <w:tblLook w:val="04A0" w:firstRow="1" w:lastRow="0" w:firstColumn="1" w:lastColumn="0" w:noHBand="0" w:noVBand="1"/>
      </w:tblPr>
      <w:tblGrid>
        <w:gridCol w:w="3253"/>
        <w:gridCol w:w="1671"/>
        <w:gridCol w:w="2171"/>
        <w:gridCol w:w="2171"/>
      </w:tblGrid>
      <w:tr w:rsidRPr="00FB57A6" w:rsidR="000928E7" w:rsidTr="00EF5346" w14:paraId="196C66DA" w14:textId="77777777">
        <w:trPr>
          <w:trHeight w:val="309"/>
        </w:trPr>
        <w:tc>
          <w:tcPr>
            <w:tcW w:w="3253" w:type="dxa"/>
            <w:vMerge w:val="restart"/>
            <w:noWrap/>
            <w:hideMark/>
          </w:tcPr>
          <w:p w:rsidRPr="00647C00" w:rsidR="000928E7" w:rsidP="00496AE1" w:rsidRDefault="000928E7" w14:paraId="14F86EA2" w14:textId="77777777">
            <w:pPr>
              <w:rPr>
                <w:color w:val="000000"/>
                <w:lang w:val="en-US"/>
              </w:rPr>
            </w:pPr>
            <w:r w:rsidRPr="00647C00">
              <w:rPr>
                <w:color w:val="000000"/>
                <w:lang w:val="en-US"/>
              </w:rPr>
              <w:t xml:space="preserve">　</w:t>
            </w:r>
          </w:p>
        </w:tc>
        <w:tc>
          <w:tcPr>
            <w:tcW w:w="1671" w:type="dxa"/>
            <w:noWrap/>
            <w:hideMark/>
          </w:tcPr>
          <w:p w:rsidRPr="000A0026" w:rsidR="000928E7" w:rsidP="00496AE1" w:rsidRDefault="000928E7" w14:paraId="19B8FF64" w14:textId="77777777">
            <w:pPr>
              <w:jc w:val="center"/>
              <w:rPr>
                <w:b/>
                <w:color w:val="000000"/>
                <w:lang w:val="en-US"/>
              </w:rPr>
            </w:pPr>
            <w:r w:rsidRPr="000A0026">
              <w:rPr>
                <w:b/>
                <w:color w:val="000000"/>
                <w:lang w:val="en-US"/>
              </w:rPr>
              <w:t>100% grid-shift</w:t>
            </w:r>
          </w:p>
        </w:tc>
        <w:tc>
          <w:tcPr>
            <w:tcW w:w="2171" w:type="dxa"/>
          </w:tcPr>
          <w:p w:rsidRPr="000A0026" w:rsidR="000928E7" w:rsidP="00496AE1" w:rsidRDefault="00EF5346" w14:paraId="3CA96442" w14:textId="011F0195">
            <w:pPr>
              <w:jc w:val="center"/>
              <w:rPr>
                <w:b/>
                <w:color w:val="000000"/>
                <w:lang w:val="en-US"/>
              </w:rPr>
            </w:pPr>
            <w:r>
              <w:rPr>
                <w:b/>
                <w:color w:val="000000"/>
                <w:lang w:val="en-US"/>
              </w:rPr>
              <w:t>20% grid-shift</w:t>
            </w:r>
          </w:p>
        </w:tc>
        <w:tc>
          <w:tcPr>
            <w:tcW w:w="2171" w:type="dxa"/>
            <w:hideMark/>
          </w:tcPr>
          <w:p w:rsidRPr="000A0026" w:rsidR="000928E7" w:rsidP="00496AE1" w:rsidRDefault="000928E7" w14:paraId="692A5E31" w14:textId="7A6CD80D">
            <w:pPr>
              <w:jc w:val="center"/>
              <w:rPr>
                <w:b/>
                <w:color w:val="000000"/>
                <w:lang w:val="en-US"/>
              </w:rPr>
            </w:pPr>
            <w:r w:rsidRPr="000A0026">
              <w:rPr>
                <w:b/>
                <w:color w:val="000000"/>
                <w:lang w:val="en-US"/>
              </w:rPr>
              <w:t>10% grid-shift</w:t>
            </w:r>
          </w:p>
        </w:tc>
      </w:tr>
      <w:tr w:rsidRPr="00FB57A6" w:rsidR="000928E7" w:rsidTr="00EF5346" w14:paraId="61159F7E" w14:textId="77777777">
        <w:trPr>
          <w:trHeight w:val="313"/>
        </w:trPr>
        <w:tc>
          <w:tcPr>
            <w:tcW w:w="3253" w:type="dxa"/>
            <w:vMerge/>
            <w:hideMark/>
          </w:tcPr>
          <w:p w:rsidRPr="000A0026" w:rsidR="000928E7" w:rsidP="00496AE1" w:rsidRDefault="000928E7" w14:paraId="6EB285FF" w14:textId="77777777">
            <w:pPr>
              <w:rPr>
                <w:color w:val="000000"/>
                <w:lang w:val="en-US"/>
              </w:rPr>
            </w:pPr>
          </w:p>
        </w:tc>
        <w:tc>
          <w:tcPr>
            <w:tcW w:w="1671" w:type="dxa"/>
            <w:noWrap/>
            <w:hideMark/>
          </w:tcPr>
          <w:p w:rsidRPr="000A0026" w:rsidR="000928E7" w:rsidP="00496AE1" w:rsidRDefault="000928E7" w14:paraId="51CB6871" w14:textId="77777777">
            <w:pPr>
              <w:jc w:val="center"/>
              <w:rPr>
                <w:color w:val="000000"/>
                <w:lang w:val="en-US"/>
              </w:rPr>
            </w:pPr>
            <w:r w:rsidRPr="000A0026">
              <w:rPr>
                <w:color w:val="000000"/>
                <w:lang w:val="en-US"/>
              </w:rPr>
              <w:t>99% CDF</w:t>
            </w:r>
          </w:p>
        </w:tc>
        <w:tc>
          <w:tcPr>
            <w:tcW w:w="2171" w:type="dxa"/>
          </w:tcPr>
          <w:p w:rsidRPr="000A0026" w:rsidR="000928E7" w:rsidP="00496AE1" w:rsidRDefault="00EF5346" w14:paraId="1577B5C1" w14:textId="2EAE97F7">
            <w:pPr>
              <w:jc w:val="center"/>
              <w:rPr>
                <w:color w:val="000000"/>
                <w:lang w:val="en-US"/>
              </w:rPr>
            </w:pPr>
            <w:r w:rsidRPr="000A0026">
              <w:rPr>
                <w:color w:val="000000"/>
                <w:lang w:val="en-US"/>
              </w:rPr>
              <w:t>99% CDF</w:t>
            </w:r>
          </w:p>
        </w:tc>
        <w:tc>
          <w:tcPr>
            <w:tcW w:w="2171" w:type="dxa"/>
            <w:hideMark/>
          </w:tcPr>
          <w:p w:rsidRPr="000A0026" w:rsidR="000928E7" w:rsidP="00496AE1" w:rsidRDefault="000928E7" w14:paraId="0372AAF8" w14:textId="55616BF7">
            <w:pPr>
              <w:jc w:val="center"/>
              <w:rPr>
                <w:color w:val="000000"/>
                <w:lang w:val="en-US"/>
              </w:rPr>
            </w:pPr>
            <w:r w:rsidRPr="000A0026">
              <w:rPr>
                <w:color w:val="000000"/>
                <w:lang w:val="en-US"/>
              </w:rPr>
              <w:t>99% CDF</w:t>
            </w:r>
          </w:p>
        </w:tc>
      </w:tr>
      <w:tr w:rsidRPr="00647C00" w:rsidR="000928E7" w:rsidTr="00EF5346" w14:paraId="7ACE7B86" w14:textId="77777777">
        <w:trPr>
          <w:trHeight w:val="307"/>
        </w:trPr>
        <w:tc>
          <w:tcPr>
            <w:tcW w:w="3253" w:type="dxa"/>
            <w:noWrap/>
            <w:hideMark/>
          </w:tcPr>
          <w:p w:rsidRPr="000A0026" w:rsidR="000928E7" w:rsidP="00496AE1" w:rsidRDefault="000928E7" w14:paraId="159495D8" w14:textId="77777777">
            <w:pPr>
              <w:rPr>
                <w:color w:val="000000"/>
                <w:lang w:val="en-US"/>
              </w:rPr>
            </w:pPr>
            <w:r w:rsidRPr="000A0026">
              <w:t>Conducted</w:t>
            </w:r>
            <w:r w:rsidRPr="000A0026">
              <w:rPr>
                <w:color w:val="000000"/>
                <w:lang w:val="en-US"/>
              </w:rPr>
              <w:t xml:space="preserve"> in-band blocking (dBm)</w:t>
            </w:r>
          </w:p>
        </w:tc>
        <w:tc>
          <w:tcPr>
            <w:tcW w:w="1671" w:type="dxa"/>
            <w:noWrap/>
            <w:hideMark/>
          </w:tcPr>
          <w:p w:rsidRPr="000A0026" w:rsidR="000928E7" w:rsidP="00496AE1" w:rsidRDefault="000928E7" w14:paraId="0045369F" w14:textId="6EE19A56">
            <w:pPr>
              <w:jc w:val="center"/>
              <w:rPr>
                <w:color w:val="000000"/>
                <w:lang w:val="en-US"/>
              </w:rPr>
            </w:pPr>
            <w:r w:rsidRPr="000A0026">
              <w:rPr>
                <w:color w:val="000000"/>
                <w:lang w:val="en-US"/>
              </w:rPr>
              <w:t>-28.05</w:t>
            </w:r>
          </w:p>
        </w:tc>
        <w:tc>
          <w:tcPr>
            <w:tcW w:w="2171" w:type="dxa"/>
          </w:tcPr>
          <w:p w:rsidRPr="000A0026" w:rsidR="000928E7" w:rsidP="00496AE1" w:rsidRDefault="00EF5346" w14:paraId="04077165" w14:textId="525C1ED2">
            <w:pPr>
              <w:jc w:val="center"/>
              <w:rPr>
                <w:color w:val="000000"/>
                <w:lang w:val="en-US"/>
              </w:rPr>
            </w:pPr>
            <w:r>
              <w:rPr>
                <w:color w:val="000000"/>
                <w:lang w:val="en-US"/>
              </w:rPr>
              <w:t>-14.10</w:t>
            </w:r>
          </w:p>
        </w:tc>
        <w:tc>
          <w:tcPr>
            <w:tcW w:w="2171" w:type="dxa"/>
            <w:hideMark/>
          </w:tcPr>
          <w:p w:rsidRPr="00647C00" w:rsidR="000928E7" w:rsidP="00496AE1" w:rsidRDefault="000928E7" w14:paraId="7A4D193F" w14:textId="650B77FF">
            <w:pPr>
              <w:jc w:val="center"/>
              <w:rPr>
                <w:color w:val="000000"/>
                <w:lang w:val="en-US"/>
              </w:rPr>
            </w:pPr>
            <w:r w:rsidRPr="000A0026">
              <w:rPr>
                <w:color w:val="000000"/>
                <w:lang w:val="en-US"/>
              </w:rPr>
              <w:t>-0.78</w:t>
            </w:r>
          </w:p>
        </w:tc>
      </w:tr>
    </w:tbl>
    <w:p w:rsidR="00E1433F" w:rsidP="00E1433F" w:rsidRDefault="00E1433F" w14:paraId="5E65B2A6" w14:textId="77777777">
      <w:pPr>
        <w:jc w:val="both"/>
        <w:rPr>
          <w:rFonts w:eastAsia="Times New Roman"/>
          <w:b/>
          <w:bCs/>
          <w:sz w:val="22"/>
          <w:szCs w:val="22"/>
          <w:lang w:val="en-IN" w:eastAsia="en-IN"/>
        </w:rPr>
      </w:pPr>
    </w:p>
    <w:p w:rsidRPr="000A0026" w:rsidR="00E1433F" w:rsidP="00E1433F" w:rsidRDefault="00987933" w14:paraId="11B6F057" w14:textId="481C41A3">
      <w:pPr>
        <w:jc w:val="both"/>
        <w:rPr>
          <w:b/>
          <w:sz w:val="22"/>
          <w:szCs w:val="22"/>
        </w:rPr>
      </w:pPr>
      <w:r w:rsidRPr="00987933">
        <w:rPr>
          <w:sz w:val="22"/>
          <w:szCs w:val="22"/>
          <w:lang w:eastAsia="ja-JP"/>
        </w:rPr>
        <w:t xml:space="preserve">The in-band blocking requirement is defined based on the 99th percentile of the CDF of the received UL wideband interference power. From Figures 3 and 4, it can be observed that the in-band blocking power increases as the grid shift decreases. Specifically, for the 100% grid shift case, the 99th percentile in-band blocking power is 14.95 dB higher than the specified requirement of –43 dBm. For the 20% grid shift case, </w:t>
      </w:r>
      <w:r w:rsidRPr="00987933">
        <w:rPr>
          <w:sz w:val="22"/>
          <w:szCs w:val="22"/>
          <w:lang w:eastAsia="ja-JP"/>
        </w:rPr>
        <w:lastRenderedPageBreak/>
        <w:t>this deviation increases to 28.90 dB, and for the 10% grid shift case, it reaches approximately 42.22 dB above the specified in-band blocking limit for a Wide Area Base Station</w:t>
      </w:r>
      <w:r w:rsidRPr="000A0026" w:rsidR="00E1433F">
        <w:rPr>
          <w:sz w:val="22"/>
          <w:szCs w:val="22"/>
          <w:lang w:eastAsia="ja-JP"/>
        </w:rPr>
        <w:t>.</w:t>
      </w:r>
    </w:p>
    <w:p w:rsidRPr="000A0026" w:rsidR="00E1433F" w:rsidP="00E1433F" w:rsidRDefault="00E1433F" w14:paraId="322EFA45" w14:textId="77777777">
      <w:pPr>
        <w:jc w:val="both"/>
        <w:rPr>
          <w:b/>
          <w:sz w:val="22"/>
          <w:szCs w:val="22"/>
        </w:rPr>
      </w:pPr>
    </w:p>
    <w:p w:rsidR="00E1433F" w:rsidP="00E1433F" w:rsidRDefault="00E1433F" w14:paraId="4F43F98A" w14:textId="5F70705F">
      <w:pPr>
        <w:jc w:val="both"/>
        <w:rPr>
          <w:b/>
          <w:sz w:val="22"/>
          <w:szCs w:val="22"/>
          <w:lang w:eastAsia="ja-JP"/>
        </w:rPr>
      </w:pPr>
      <w:bookmarkStart w:name="_Hlk188364426" w:id="14"/>
      <w:r w:rsidRPr="000A0026">
        <w:rPr>
          <w:b/>
          <w:sz w:val="22"/>
          <w:szCs w:val="22"/>
        </w:rPr>
        <w:t xml:space="preserve">Observation </w:t>
      </w:r>
      <w:r w:rsidR="00C34D3F">
        <w:rPr>
          <w:b/>
          <w:sz w:val="22"/>
          <w:szCs w:val="22"/>
        </w:rPr>
        <w:t>3</w:t>
      </w:r>
      <w:r w:rsidRPr="000A0026">
        <w:rPr>
          <w:b/>
          <w:sz w:val="22"/>
          <w:szCs w:val="22"/>
        </w:rPr>
        <w:t xml:space="preserve">: </w:t>
      </w:r>
      <w:r w:rsidRPr="00EB5176" w:rsidR="00EB5176">
        <w:rPr>
          <w:b/>
          <w:sz w:val="22"/>
          <w:szCs w:val="22"/>
        </w:rPr>
        <w:t>The 99th percentile in-band blocking power exceeds the –43 dBm requirement by 14.95 dB, 28.90 dB, and 42.22 dB for grid shifts of 100%, 20%, and 10%, respectively—indicating increased interference as grid shift decreases.</w:t>
      </w:r>
    </w:p>
    <w:p w:rsidR="001C3FC3" w:rsidP="00E1433F" w:rsidRDefault="001C3FC3" w14:paraId="62344AF1" w14:textId="77777777">
      <w:pPr>
        <w:jc w:val="both"/>
        <w:rPr>
          <w:b/>
          <w:sz w:val="22"/>
          <w:szCs w:val="22"/>
          <w:lang w:eastAsia="ja-JP"/>
        </w:rPr>
      </w:pPr>
    </w:p>
    <w:p w:rsidR="001C3FC3" w:rsidP="00D24376" w:rsidRDefault="001C3FC3" w14:paraId="1C7CB9CC" w14:textId="3749E73F">
      <w:pPr>
        <w:jc w:val="center"/>
        <w:rPr>
          <w:b/>
          <w:bCs/>
          <w:sz w:val="22"/>
          <w:szCs w:val="22"/>
          <w:lang w:eastAsia="ja-JP"/>
        </w:rPr>
      </w:pPr>
    </w:p>
    <w:bookmarkEnd w:id="14"/>
    <w:p w:rsidRPr="00B01CAC" w:rsidR="006A55DB" w:rsidP="00B01CAC" w:rsidRDefault="00B01CAC" w14:paraId="73C40312" w14:textId="21477D12">
      <w:pPr>
        <w:pStyle w:val="Heading4"/>
        <w:rPr>
          <w:rFonts w:ascii="Times New Roman" w:hAnsi="Times New Roman" w:cs="Times New Roman"/>
          <w:b/>
        </w:rPr>
      </w:pPr>
      <w:r w:rsidRPr="00B01CAC">
        <w:rPr>
          <w:rFonts w:ascii="Times New Roman" w:hAnsi="Times New Roman" w:cs="Times New Roman"/>
          <w:b/>
          <w:bCs/>
        </w:rPr>
        <w:t xml:space="preserve">Summary of Results </w:t>
      </w:r>
    </w:p>
    <w:p w:rsidRPr="00647C00" w:rsidR="003D0D23" w:rsidP="003D0D23" w:rsidRDefault="003D0D23" w14:paraId="0604E267" w14:textId="77777777">
      <w:pPr>
        <w:jc w:val="both"/>
        <w:rPr>
          <w:rFonts w:eastAsiaTheme="minorEastAsia"/>
          <w:bCs/>
          <w:sz w:val="22"/>
          <w:szCs w:val="22"/>
          <w:lang w:val="en-US" w:eastAsia="zh-CN"/>
        </w:rPr>
      </w:pPr>
    </w:p>
    <w:p w:rsidRPr="009C12B5" w:rsidR="003D0D23" w:rsidP="003D0D23" w:rsidRDefault="003D0D23" w14:paraId="046E4D62" w14:textId="7DCB97F8">
      <w:pPr>
        <w:jc w:val="center"/>
        <w:rPr>
          <w:b/>
          <w:bCs/>
        </w:rPr>
      </w:pPr>
      <w:r w:rsidRPr="69170F29">
        <w:rPr>
          <w:b/>
          <w:bCs/>
        </w:rPr>
        <w:t>Table</w:t>
      </w:r>
      <w:r>
        <w:rPr>
          <w:b/>
          <w:bCs/>
        </w:rPr>
        <w:t xml:space="preserve"> </w:t>
      </w:r>
      <w:r w:rsidR="00116753">
        <w:rPr>
          <w:b/>
          <w:bCs/>
        </w:rPr>
        <w:t>7</w:t>
      </w:r>
      <w:r w:rsidRPr="69170F29">
        <w:rPr>
          <w:b/>
          <w:bCs/>
        </w:rPr>
        <w:t xml:space="preserve">: FR1 </w:t>
      </w:r>
      <w:proofErr w:type="spellStart"/>
      <w:r w:rsidR="00D07079">
        <w:rPr>
          <w:b/>
          <w:bCs/>
        </w:rPr>
        <w:t>UMa</w:t>
      </w:r>
      <w:proofErr w:type="spellEnd"/>
      <w:r w:rsidR="00F562FC">
        <w:rPr>
          <w:b/>
          <w:bCs/>
        </w:rPr>
        <w:t xml:space="preserve">- </w:t>
      </w:r>
      <w:proofErr w:type="spellStart"/>
      <w:r w:rsidR="00F562FC">
        <w:rPr>
          <w:b/>
          <w:bCs/>
        </w:rPr>
        <w:t>UMa</w:t>
      </w:r>
      <w:proofErr w:type="spellEnd"/>
      <w:r w:rsidR="00F562FC">
        <w:rPr>
          <w:b/>
          <w:bCs/>
        </w:rPr>
        <w:t xml:space="preserve"> </w:t>
      </w:r>
      <w:r w:rsidRPr="69170F29">
        <w:rPr>
          <w:b/>
          <w:bCs/>
        </w:rPr>
        <w:t>conducted in-band blocking simulation results</w:t>
      </w:r>
    </w:p>
    <w:p w:rsidR="00151DB6" w:rsidP="00A50D81" w:rsidRDefault="00151DB6" w14:paraId="39DAEF3C" w14:textId="77777777">
      <w:pPr>
        <w:jc w:val="both"/>
        <w:rPr>
          <w:rFonts w:eastAsia="Times New Roman"/>
          <w:b/>
          <w:bCs/>
          <w:sz w:val="22"/>
          <w:szCs w:val="22"/>
          <w:lang w:val="en-IN" w:eastAsia="en-IN"/>
        </w:rPr>
      </w:pPr>
    </w:p>
    <w:tbl>
      <w:tblPr>
        <w:tblW w:w="3413" w:type="pct"/>
        <w:jc w:val="center"/>
        <w:tblCellMar>
          <w:left w:w="0" w:type="dxa"/>
          <w:right w:w="0" w:type="dxa"/>
        </w:tblCellMar>
        <w:tblLook w:val="0420" w:firstRow="1" w:lastRow="0" w:firstColumn="0" w:lastColumn="0" w:noHBand="0" w:noVBand="1"/>
      </w:tblPr>
      <w:tblGrid>
        <w:gridCol w:w="1311"/>
        <w:gridCol w:w="1765"/>
        <w:gridCol w:w="1457"/>
        <w:gridCol w:w="1842"/>
      </w:tblGrid>
      <w:tr w:rsidRPr="00013003" w:rsidR="00231B2C" w:rsidTr="00231B2C" w14:paraId="1F07D1DC" w14:textId="77777777">
        <w:trPr>
          <w:trHeight w:val="86"/>
          <w:jc w:val="center"/>
        </w:trPr>
        <w:tc>
          <w:tcPr>
            <w:tcW w:w="1028"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3329084C" w14:textId="77777777">
            <w:pPr>
              <w:jc w:val="both"/>
              <w:rPr>
                <w:rFonts w:eastAsia="Times New Roman"/>
                <w:b/>
                <w:bCs/>
                <w:sz w:val="21"/>
                <w:szCs w:val="21"/>
                <w:lang w:val="en-IN" w:eastAsia="en-IN"/>
              </w:rPr>
            </w:pPr>
            <w:r w:rsidRPr="00013003">
              <w:rPr>
                <w:rFonts w:eastAsia="Times New Roman"/>
                <w:b/>
                <w:bCs/>
                <w:sz w:val="21"/>
                <w:szCs w:val="21"/>
                <w:lang w:val="en-IN" w:eastAsia="en-IN"/>
              </w:rPr>
              <w:t>Scenario</w:t>
            </w:r>
          </w:p>
        </w:tc>
        <w:tc>
          <w:tcPr>
            <w:tcW w:w="1384"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483029CB" w14:textId="77777777">
            <w:pPr>
              <w:jc w:val="both"/>
              <w:rPr>
                <w:rFonts w:eastAsia="Times New Roman"/>
                <w:b/>
                <w:bCs/>
                <w:sz w:val="21"/>
                <w:szCs w:val="21"/>
                <w:lang w:val="en-IN" w:eastAsia="en-IN"/>
              </w:rPr>
            </w:pPr>
            <w:r w:rsidRPr="00013003">
              <w:rPr>
                <w:rFonts w:eastAsia="Times New Roman"/>
                <w:b/>
                <w:bCs/>
                <w:sz w:val="21"/>
                <w:szCs w:val="21"/>
                <w:lang w:val="en-IN" w:eastAsia="en-IN"/>
              </w:rPr>
              <w:t xml:space="preserve">Aggressor </w:t>
            </w:r>
          </w:p>
        </w:tc>
        <w:tc>
          <w:tcPr>
            <w:tcW w:w="1143"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3B08D8D3" w14:textId="77777777">
            <w:pPr>
              <w:jc w:val="both"/>
              <w:rPr>
                <w:rFonts w:eastAsia="Times New Roman"/>
                <w:b/>
                <w:bCs/>
                <w:sz w:val="21"/>
                <w:szCs w:val="21"/>
                <w:lang w:val="en-IN" w:eastAsia="en-IN"/>
              </w:rPr>
            </w:pPr>
            <w:r w:rsidRPr="00013003">
              <w:rPr>
                <w:rFonts w:eastAsia="Times New Roman"/>
                <w:b/>
                <w:bCs/>
                <w:sz w:val="21"/>
                <w:szCs w:val="21"/>
                <w:lang w:val="en-US" w:eastAsia="en-IN"/>
              </w:rPr>
              <w:t>Grid Shift</w:t>
            </w:r>
          </w:p>
        </w:tc>
        <w:tc>
          <w:tcPr>
            <w:tcW w:w="1445"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5D72FAAE" w14:textId="77777777">
            <w:pPr>
              <w:jc w:val="both"/>
              <w:rPr>
                <w:rFonts w:eastAsia="Times New Roman"/>
                <w:b/>
                <w:bCs/>
                <w:sz w:val="21"/>
                <w:szCs w:val="21"/>
                <w:lang w:val="en-IN" w:eastAsia="en-IN"/>
              </w:rPr>
            </w:pPr>
            <w:r w:rsidRPr="00013003">
              <w:rPr>
                <w:rFonts w:eastAsia="Times New Roman"/>
                <w:b/>
                <w:bCs/>
                <w:sz w:val="21"/>
                <w:szCs w:val="21"/>
                <w:lang w:val="en-US" w:eastAsia="en-IN"/>
              </w:rPr>
              <w:t>99% CDF</w:t>
            </w:r>
          </w:p>
        </w:tc>
      </w:tr>
      <w:tr w:rsidRPr="00013003" w:rsidR="00231B2C" w:rsidTr="00231B2C" w14:paraId="49E8A749" w14:textId="77777777">
        <w:trPr>
          <w:trHeight w:val="31"/>
          <w:jc w:val="center"/>
        </w:trPr>
        <w:tc>
          <w:tcPr>
            <w:tcW w:w="1028" w:type="pct"/>
            <w:vMerge w:val="restar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0A0AA6F0" w14:textId="77777777">
            <w:pPr>
              <w:jc w:val="both"/>
              <w:rPr>
                <w:rFonts w:eastAsia="Times New Roman"/>
                <w:sz w:val="21"/>
                <w:szCs w:val="21"/>
                <w:lang w:val="en-IN" w:eastAsia="en-IN"/>
              </w:rPr>
            </w:pPr>
            <w:proofErr w:type="spellStart"/>
            <w:r w:rsidRPr="00013003">
              <w:rPr>
                <w:rFonts w:eastAsia="Times New Roman"/>
                <w:sz w:val="21"/>
                <w:szCs w:val="21"/>
                <w:lang w:val="en-IN" w:eastAsia="en-IN"/>
              </w:rPr>
              <w:t>UMa</w:t>
            </w:r>
            <w:proofErr w:type="spellEnd"/>
          </w:p>
        </w:tc>
        <w:tc>
          <w:tcPr>
            <w:tcW w:w="1384" w:type="pct"/>
            <w:vMerge w:val="restar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55B2F9A3" w14:textId="77777777">
            <w:pPr>
              <w:jc w:val="both"/>
              <w:rPr>
                <w:rFonts w:eastAsia="Times New Roman"/>
                <w:sz w:val="21"/>
                <w:szCs w:val="21"/>
                <w:lang w:val="en-IN" w:eastAsia="en-IN"/>
              </w:rPr>
            </w:pPr>
            <w:r w:rsidRPr="00013003">
              <w:rPr>
                <w:rFonts w:eastAsia="Times New Roman"/>
                <w:sz w:val="21"/>
                <w:szCs w:val="21"/>
                <w:lang w:val="en-IN" w:eastAsia="en-IN"/>
              </w:rPr>
              <w:t>SBFD</w:t>
            </w:r>
          </w:p>
        </w:tc>
        <w:tc>
          <w:tcPr>
            <w:tcW w:w="1143"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3358ACEE" w14:textId="77777777">
            <w:pPr>
              <w:jc w:val="both"/>
              <w:rPr>
                <w:rFonts w:eastAsia="Times New Roman"/>
                <w:sz w:val="21"/>
                <w:szCs w:val="21"/>
                <w:lang w:val="en-IN" w:eastAsia="en-IN"/>
              </w:rPr>
            </w:pPr>
            <w:r w:rsidRPr="00013003">
              <w:rPr>
                <w:rFonts w:eastAsia="Times New Roman"/>
                <w:sz w:val="21"/>
                <w:szCs w:val="21"/>
                <w:lang w:val="en-US" w:eastAsia="en-IN"/>
              </w:rPr>
              <w:t>10%</w:t>
            </w:r>
          </w:p>
        </w:tc>
        <w:tc>
          <w:tcPr>
            <w:tcW w:w="1445"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6BEEF98E" w14:textId="77777777">
            <w:pPr>
              <w:jc w:val="both"/>
              <w:rPr>
                <w:rFonts w:eastAsia="Times New Roman"/>
                <w:sz w:val="21"/>
                <w:szCs w:val="21"/>
                <w:lang w:val="en-IN" w:eastAsia="en-IN"/>
              </w:rPr>
            </w:pPr>
            <w:r w:rsidRPr="00013003">
              <w:rPr>
                <w:rFonts w:eastAsia="Times New Roman"/>
                <w:sz w:val="21"/>
                <w:szCs w:val="21"/>
                <w:lang w:val="en-US" w:eastAsia="en-IN"/>
              </w:rPr>
              <w:t>-3.82</w:t>
            </w:r>
          </w:p>
        </w:tc>
      </w:tr>
      <w:tr w:rsidRPr="00013003" w:rsidR="00231B2C" w:rsidTr="00231B2C" w14:paraId="143E8BCB" w14:textId="77777777">
        <w:trPr>
          <w:trHeight w:val="6"/>
          <w:jc w:val="center"/>
        </w:trPr>
        <w:tc>
          <w:tcPr>
            <w:tcW w:w="1028" w:type="pct"/>
            <w:vMerge/>
            <w:tcBorders>
              <w:top w:val="single" w:color="000000" w:sz="8" w:space="0"/>
              <w:left w:val="single" w:color="000000" w:sz="8" w:space="0"/>
              <w:bottom w:val="single" w:color="000000" w:sz="8" w:space="0"/>
              <w:right w:val="single" w:color="000000" w:sz="8" w:space="0"/>
            </w:tcBorders>
            <w:vAlign w:val="center"/>
            <w:hideMark/>
          </w:tcPr>
          <w:p w:rsidRPr="00013003" w:rsidR="00231B2C" w:rsidP="00DA7B40" w:rsidRDefault="00231B2C" w14:paraId="7D66682B" w14:textId="77777777">
            <w:pPr>
              <w:jc w:val="both"/>
              <w:rPr>
                <w:rFonts w:eastAsia="Times New Roman"/>
                <w:sz w:val="21"/>
                <w:szCs w:val="21"/>
                <w:lang w:val="en-IN" w:eastAsia="en-IN"/>
              </w:rPr>
            </w:pPr>
          </w:p>
        </w:tc>
        <w:tc>
          <w:tcPr>
            <w:tcW w:w="1384" w:type="pct"/>
            <w:vMerge/>
            <w:tcBorders>
              <w:top w:val="single" w:color="000000" w:sz="8" w:space="0"/>
              <w:left w:val="single" w:color="000000" w:sz="8" w:space="0"/>
              <w:bottom w:val="single" w:color="000000" w:sz="8" w:space="0"/>
              <w:right w:val="single" w:color="000000" w:sz="8" w:space="0"/>
            </w:tcBorders>
            <w:vAlign w:val="center"/>
            <w:hideMark/>
          </w:tcPr>
          <w:p w:rsidRPr="00013003" w:rsidR="00231B2C" w:rsidP="00DA7B40" w:rsidRDefault="00231B2C" w14:paraId="5CB732DB" w14:textId="77777777">
            <w:pPr>
              <w:jc w:val="both"/>
              <w:rPr>
                <w:rFonts w:eastAsia="Times New Roman"/>
                <w:sz w:val="21"/>
                <w:szCs w:val="21"/>
                <w:lang w:val="en-IN" w:eastAsia="en-IN"/>
              </w:rPr>
            </w:pPr>
          </w:p>
        </w:tc>
        <w:tc>
          <w:tcPr>
            <w:tcW w:w="1143"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1B400274" w14:textId="77777777">
            <w:pPr>
              <w:jc w:val="both"/>
              <w:rPr>
                <w:rFonts w:eastAsia="Times New Roman"/>
                <w:sz w:val="21"/>
                <w:szCs w:val="21"/>
                <w:lang w:val="en-IN" w:eastAsia="en-IN"/>
              </w:rPr>
            </w:pPr>
            <w:r w:rsidRPr="00013003">
              <w:rPr>
                <w:rFonts w:eastAsia="Times New Roman"/>
                <w:sz w:val="21"/>
                <w:szCs w:val="21"/>
                <w:lang w:val="en-US" w:eastAsia="en-IN"/>
              </w:rPr>
              <w:t>100%</w:t>
            </w:r>
          </w:p>
        </w:tc>
        <w:tc>
          <w:tcPr>
            <w:tcW w:w="1445"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01AAE5CD" w14:textId="77777777">
            <w:pPr>
              <w:jc w:val="both"/>
              <w:rPr>
                <w:rFonts w:eastAsia="Times New Roman"/>
                <w:sz w:val="21"/>
                <w:szCs w:val="21"/>
                <w:lang w:val="en-IN" w:eastAsia="en-IN"/>
              </w:rPr>
            </w:pPr>
            <w:r w:rsidRPr="00013003">
              <w:rPr>
                <w:rFonts w:eastAsia="Times New Roman"/>
                <w:sz w:val="21"/>
                <w:szCs w:val="21"/>
                <w:lang w:val="en-US" w:eastAsia="en-IN"/>
              </w:rPr>
              <w:t>-30.46</w:t>
            </w:r>
          </w:p>
        </w:tc>
      </w:tr>
      <w:tr w:rsidRPr="00013003" w:rsidR="00231B2C" w:rsidTr="00231B2C" w14:paraId="2828C723" w14:textId="77777777">
        <w:trPr>
          <w:trHeight w:val="110"/>
          <w:jc w:val="center"/>
        </w:trPr>
        <w:tc>
          <w:tcPr>
            <w:tcW w:w="1028" w:type="pct"/>
            <w:vMerge/>
            <w:tcBorders>
              <w:top w:val="single" w:color="000000" w:sz="8" w:space="0"/>
              <w:left w:val="single" w:color="000000" w:sz="8" w:space="0"/>
              <w:bottom w:val="single" w:color="000000" w:sz="8" w:space="0"/>
              <w:right w:val="single" w:color="000000" w:sz="8" w:space="0"/>
            </w:tcBorders>
            <w:vAlign w:val="center"/>
            <w:hideMark/>
          </w:tcPr>
          <w:p w:rsidRPr="00013003" w:rsidR="00231B2C" w:rsidP="00DA7B40" w:rsidRDefault="00231B2C" w14:paraId="2FDDEF8E" w14:textId="77777777">
            <w:pPr>
              <w:jc w:val="both"/>
              <w:rPr>
                <w:rFonts w:eastAsia="Times New Roman"/>
                <w:sz w:val="21"/>
                <w:szCs w:val="21"/>
                <w:lang w:val="en-IN" w:eastAsia="en-IN"/>
              </w:rPr>
            </w:pPr>
          </w:p>
        </w:tc>
        <w:tc>
          <w:tcPr>
            <w:tcW w:w="1384" w:type="pct"/>
            <w:vMerge w:val="restar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1CEE6D70" w14:textId="77777777">
            <w:pPr>
              <w:jc w:val="both"/>
              <w:rPr>
                <w:rFonts w:eastAsia="Times New Roman"/>
                <w:sz w:val="21"/>
                <w:szCs w:val="21"/>
                <w:lang w:val="en-IN" w:eastAsia="en-IN"/>
              </w:rPr>
            </w:pPr>
          </w:p>
          <w:p w:rsidRPr="00013003" w:rsidR="00231B2C" w:rsidP="00DA7B40" w:rsidRDefault="00231B2C" w14:paraId="68CBFC2C" w14:textId="77777777">
            <w:pPr>
              <w:jc w:val="both"/>
              <w:rPr>
                <w:rFonts w:eastAsia="Times New Roman"/>
                <w:sz w:val="21"/>
                <w:szCs w:val="21"/>
                <w:lang w:val="en-IN" w:eastAsia="en-IN"/>
              </w:rPr>
            </w:pPr>
          </w:p>
          <w:p w:rsidRPr="00013003" w:rsidR="00231B2C" w:rsidP="00DA7B40" w:rsidRDefault="00231B2C" w14:paraId="703BF82B" w14:textId="01E928B9">
            <w:pPr>
              <w:jc w:val="both"/>
              <w:rPr>
                <w:rFonts w:eastAsia="Times New Roman"/>
                <w:sz w:val="21"/>
                <w:szCs w:val="21"/>
                <w:lang w:val="en-IN" w:eastAsia="en-IN"/>
              </w:rPr>
            </w:pPr>
            <w:r w:rsidRPr="00013003">
              <w:rPr>
                <w:rFonts w:eastAsia="Times New Roman"/>
                <w:sz w:val="21"/>
                <w:szCs w:val="21"/>
                <w:lang w:val="en-IN" w:eastAsia="en-IN"/>
              </w:rPr>
              <w:t>TDD</w:t>
            </w:r>
          </w:p>
        </w:tc>
        <w:tc>
          <w:tcPr>
            <w:tcW w:w="1143"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406F9DFD" w14:textId="77777777">
            <w:pPr>
              <w:jc w:val="both"/>
              <w:rPr>
                <w:rFonts w:eastAsia="Times New Roman"/>
                <w:sz w:val="21"/>
                <w:szCs w:val="21"/>
                <w:lang w:val="en-IN" w:eastAsia="en-IN"/>
              </w:rPr>
            </w:pPr>
            <w:r w:rsidRPr="00013003">
              <w:rPr>
                <w:rFonts w:eastAsia="Times New Roman"/>
                <w:sz w:val="21"/>
                <w:szCs w:val="21"/>
                <w:lang w:val="en-US" w:eastAsia="en-IN"/>
              </w:rPr>
              <w:t>10%</w:t>
            </w:r>
          </w:p>
        </w:tc>
        <w:tc>
          <w:tcPr>
            <w:tcW w:w="1445"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150CD3DF" w14:textId="77777777">
            <w:pPr>
              <w:jc w:val="both"/>
              <w:rPr>
                <w:rFonts w:eastAsia="Times New Roman"/>
                <w:sz w:val="21"/>
                <w:szCs w:val="21"/>
                <w:lang w:val="en-IN" w:eastAsia="en-IN"/>
              </w:rPr>
            </w:pPr>
            <w:r w:rsidRPr="00013003">
              <w:rPr>
                <w:rFonts w:eastAsia="Times New Roman"/>
                <w:sz w:val="21"/>
                <w:szCs w:val="21"/>
                <w:lang w:val="en-IN" w:eastAsia="en-IN"/>
              </w:rPr>
              <w:t>-0.78</w:t>
            </w:r>
          </w:p>
        </w:tc>
      </w:tr>
      <w:tr w:rsidRPr="00013003" w:rsidR="00282F6D" w:rsidTr="00231B2C" w14:paraId="3685D82D" w14:textId="77777777">
        <w:trPr>
          <w:trHeight w:val="110"/>
          <w:jc w:val="center"/>
        </w:trPr>
        <w:tc>
          <w:tcPr>
            <w:tcW w:w="1028" w:type="pct"/>
            <w:vMerge/>
            <w:tcBorders>
              <w:top w:val="single" w:color="000000" w:sz="8" w:space="0"/>
              <w:left w:val="single" w:color="000000" w:sz="8" w:space="0"/>
              <w:bottom w:val="single" w:color="000000" w:sz="8" w:space="0"/>
              <w:right w:val="single" w:color="000000" w:sz="8" w:space="0"/>
            </w:tcBorders>
            <w:vAlign w:val="center"/>
          </w:tcPr>
          <w:p w:rsidRPr="00013003" w:rsidR="00282F6D" w:rsidP="00DA7B40" w:rsidRDefault="00282F6D" w14:paraId="1EE685AE" w14:textId="77777777">
            <w:pPr>
              <w:jc w:val="both"/>
              <w:rPr>
                <w:rFonts w:eastAsia="Times New Roman"/>
                <w:sz w:val="21"/>
                <w:szCs w:val="21"/>
                <w:lang w:val="en-IN" w:eastAsia="en-IN"/>
              </w:rPr>
            </w:pPr>
          </w:p>
        </w:tc>
        <w:tc>
          <w:tcPr>
            <w:tcW w:w="1384" w:type="pct"/>
            <w:vMerge/>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tcPr>
          <w:p w:rsidRPr="00013003" w:rsidR="00282F6D" w:rsidP="00DA7B40" w:rsidRDefault="00282F6D" w14:paraId="0CA32BB2" w14:textId="77777777">
            <w:pPr>
              <w:jc w:val="both"/>
              <w:rPr>
                <w:rFonts w:eastAsia="Times New Roman"/>
                <w:sz w:val="21"/>
                <w:szCs w:val="21"/>
                <w:lang w:val="en-IN" w:eastAsia="en-IN"/>
              </w:rPr>
            </w:pPr>
          </w:p>
        </w:tc>
        <w:tc>
          <w:tcPr>
            <w:tcW w:w="1143"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tcPr>
          <w:p w:rsidRPr="00013003" w:rsidR="00282F6D" w:rsidP="00DA7B40" w:rsidRDefault="00282F6D" w14:paraId="6AD00A14" w14:textId="5813C1AC">
            <w:pPr>
              <w:jc w:val="both"/>
              <w:rPr>
                <w:rFonts w:eastAsia="Times New Roman"/>
                <w:sz w:val="21"/>
                <w:szCs w:val="21"/>
                <w:lang w:val="en-US" w:eastAsia="en-IN"/>
              </w:rPr>
            </w:pPr>
            <w:r>
              <w:rPr>
                <w:rFonts w:eastAsia="Times New Roman"/>
                <w:sz w:val="21"/>
                <w:szCs w:val="21"/>
                <w:lang w:val="en-US" w:eastAsia="en-IN"/>
              </w:rPr>
              <w:t>20%</w:t>
            </w:r>
          </w:p>
        </w:tc>
        <w:tc>
          <w:tcPr>
            <w:tcW w:w="1445"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tcPr>
          <w:p w:rsidRPr="00013003" w:rsidR="00282F6D" w:rsidP="00DA7B40" w:rsidRDefault="007E7E59" w14:paraId="4A1F86DE" w14:textId="44E16C77">
            <w:pPr>
              <w:jc w:val="both"/>
              <w:rPr>
                <w:rFonts w:eastAsia="Times New Roman"/>
                <w:sz w:val="21"/>
                <w:szCs w:val="21"/>
                <w:lang w:val="en-IN" w:eastAsia="en-IN"/>
              </w:rPr>
            </w:pPr>
            <w:r>
              <w:rPr>
                <w:rFonts w:eastAsia="Times New Roman"/>
                <w:sz w:val="21"/>
                <w:szCs w:val="21"/>
                <w:lang w:val="en-IN" w:eastAsia="en-IN"/>
              </w:rPr>
              <w:t>-14.10</w:t>
            </w:r>
          </w:p>
        </w:tc>
      </w:tr>
      <w:tr w:rsidRPr="00013003" w:rsidR="00231B2C" w:rsidTr="00231B2C" w14:paraId="01FD64DB" w14:textId="77777777">
        <w:trPr>
          <w:trHeight w:val="177"/>
          <w:jc w:val="center"/>
        </w:trPr>
        <w:tc>
          <w:tcPr>
            <w:tcW w:w="1028" w:type="pct"/>
            <w:vMerge/>
            <w:tcBorders>
              <w:top w:val="single" w:color="000000" w:sz="8" w:space="0"/>
              <w:left w:val="single" w:color="000000" w:sz="8" w:space="0"/>
              <w:bottom w:val="single" w:color="000000" w:sz="8" w:space="0"/>
              <w:right w:val="single" w:color="000000" w:sz="8" w:space="0"/>
            </w:tcBorders>
            <w:vAlign w:val="center"/>
            <w:hideMark/>
          </w:tcPr>
          <w:p w:rsidRPr="00013003" w:rsidR="00231B2C" w:rsidP="00DA7B40" w:rsidRDefault="00231B2C" w14:paraId="3F6C5B3D" w14:textId="77777777">
            <w:pPr>
              <w:jc w:val="both"/>
              <w:rPr>
                <w:rFonts w:eastAsia="Times New Roman"/>
                <w:sz w:val="21"/>
                <w:szCs w:val="21"/>
                <w:lang w:val="en-IN" w:eastAsia="en-IN"/>
              </w:rPr>
            </w:pPr>
          </w:p>
        </w:tc>
        <w:tc>
          <w:tcPr>
            <w:tcW w:w="1384" w:type="pct"/>
            <w:vMerge/>
            <w:tcBorders>
              <w:top w:val="single" w:color="000000" w:sz="8" w:space="0"/>
              <w:left w:val="single" w:color="000000" w:sz="8" w:space="0"/>
              <w:bottom w:val="single" w:color="000000" w:sz="8" w:space="0"/>
              <w:right w:val="single" w:color="000000" w:sz="8" w:space="0"/>
            </w:tcBorders>
            <w:vAlign w:val="center"/>
            <w:hideMark/>
          </w:tcPr>
          <w:p w:rsidRPr="00013003" w:rsidR="00231B2C" w:rsidP="00DA7B40" w:rsidRDefault="00231B2C" w14:paraId="3AF4FE9D" w14:textId="77777777">
            <w:pPr>
              <w:jc w:val="both"/>
              <w:rPr>
                <w:rFonts w:eastAsia="Times New Roman"/>
                <w:sz w:val="21"/>
                <w:szCs w:val="21"/>
                <w:lang w:val="en-IN" w:eastAsia="en-IN"/>
              </w:rPr>
            </w:pPr>
          </w:p>
        </w:tc>
        <w:tc>
          <w:tcPr>
            <w:tcW w:w="1143"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090556DF" w14:textId="77777777">
            <w:pPr>
              <w:jc w:val="both"/>
              <w:rPr>
                <w:rFonts w:eastAsia="Times New Roman"/>
                <w:sz w:val="21"/>
                <w:szCs w:val="21"/>
                <w:lang w:val="en-IN" w:eastAsia="en-IN"/>
              </w:rPr>
            </w:pPr>
            <w:r w:rsidRPr="00013003">
              <w:rPr>
                <w:rFonts w:eastAsia="Times New Roman"/>
                <w:sz w:val="21"/>
                <w:szCs w:val="21"/>
                <w:lang w:val="en-US" w:eastAsia="en-IN"/>
              </w:rPr>
              <w:t>100%</w:t>
            </w:r>
          </w:p>
        </w:tc>
        <w:tc>
          <w:tcPr>
            <w:tcW w:w="1445" w:type="pct"/>
            <w:tcBorders>
              <w:top w:val="single" w:color="000000" w:sz="8" w:space="0"/>
              <w:left w:val="single" w:color="000000" w:sz="8" w:space="0"/>
              <w:bottom w:val="single" w:color="000000" w:sz="8" w:space="0"/>
              <w:right w:val="single" w:color="000000" w:sz="8" w:space="0"/>
            </w:tcBorders>
            <w:shd w:val="clear" w:color="auto" w:fill="FFFFFF"/>
            <w:tcMar>
              <w:top w:w="72" w:type="dxa"/>
              <w:left w:w="144" w:type="dxa"/>
              <w:bottom w:w="72" w:type="dxa"/>
              <w:right w:w="144" w:type="dxa"/>
            </w:tcMar>
            <w:hideMark/>
          </w:tcPr>
          <w:p w:rsidRPr="00013003" w:rsidR="00231B2C" w:rsidP="00DA7B40" w:rsidRDefault="00231B2C" w14:paraId="2CE255AC" w14:textId="77777777">
            <w:pPr>
              <w:jc w:val="both"/>
              <w:rPr>
                <w:rFonts w:eastAsia="Times New Roman"/>
                <w:sz w:val="21"/>
                <w:szCs w:val="21"/>
                <w:lang w:val="en-IN" w:eastAsia="en-IN"/>
              </w:rPr>
            </w:pPr>
            <w:r w:rsidRPr="00013003">
              <w:rPr>
                <w:rFonts w:eastAsia="Times New Roman"/>
                <w:sz w:val="21"/>
                <w:szCs w:val="21"/>
                <w:lang w:val="en-IN" w:eastAsia="en-IN"/>
              </w:rPr>
              <w:t>-28.05</w:t>
            </w:r>
          </w:p>
        </w:tc>
      </w:tr>
    </w:tbl>
    <w:p w:rsidR="00013003" w:rsidP="00A673E5" w:rsidRDefault="00013003" w14:paraId="043F39E4" w14:textId="77777777">
      <w:pPr>
        <w:jc w:val="both"/>
        <w:rPr>
          <w:rFonts w:eastAsia="Times New Roman"/>
          <w:b/>
          <w:bCs/>
          <w:sz w:val="22"/>
          <w:szCs w:val="22"/>
          <w:lang w:val="en-IN" w:eastAsia="en-IN"/>
        </w:rPr>
      </w:pPr>
    </w:p>
    <w:p w:rsidR="00182D24" w:rsidP="00A673E5" w:rsidRDefault="00182D24" w14:paraId="448E5B1D" w14:textId="77777777">
      <w:pPr>
        <w:jc w:val="both"/>
        <w:rPr>
          <w:rFonts w:eastAsia="Times New Roman"/>
          <w:b/>
          <w:bCs/>
          <w:sz w:val="22"/>
          <w:szCs w:val="22"/>
          <w:lang w:val="en-IN" w:eastAsia="en-IN"/>
        </w:rPr>
      </w:pPr>
      <w:bookmarkStart w:name="_Hlk188364493" w:id="15"/>
    </w:p>
    <w:bookmarkEnd w:id="15"/>
    <w:p w:rsidRPr="006F7C4F" w:rsidR="006F7C4F" w:rsidP="006F7C4F" w:rsidRDefault="006F7C4F" w14:paraId="3AB164AF" w14:textId="75978FD5">
      <w:pPr>
        <w:jc w:val="both"/>
        <w:rPr>
          <w:rFonts w:eastAsia="Times New Roman"/>
          <w:b/>
          <w:bCs/>
          <w:sz w:val="22"/>
          <w:szCs w:val="22"/>
          <w:lang w:val="en-IN" w:eastAsia="en-IN"/>
        </w:rPr>
      </w:pPr>
      <w:r w:rsidRPr="006F7C4F">
        <w:rPr>
          <w:rFonts w:eastAsia="Times New Roman"/>
          <w:b/>
          <w:bCs/>
          <w:sz w:val="22"/>
          <w:szCs w:val="22"/>
          <w:lang w:val="en-IN" w:eastAsia="en-IN"/>
        </w:rPr>
        <w:t xml:space="preserve">Observation </w:t>
      </w:r>
      <w:r w:rsidR="00C34D3F">
        <w:rPr>
          <w:rFonts w:eastAsia="Times New Roman"/>
          <w:b/>
          <w:bCs/>
          <w:sz w:val="22"/>
          <w:szCs w:val="22"/>
          <w:lang w:val="en-IN" w:eastAsia="en-IN"/>
        </w:rPr>
        <w:t>4</w:t>
      </w:r>
      <w:r w:rsidRPr="006F7C4F">
        <w:rPr>
          <w:rFonts w:eastAsia="Times New Roman"/>
          <w:b/>
          <w:bCs/>
          <w:sz w:val="22"/>
          <w:szCs w:val="22"/>
          <w:lang w:val="en-IN" w:eastAsia="en-IN"/>
        </w:rPr>
        <w:t>:</w:t>
      </w:r>
      <w:r w:rsidR="00C34D3F">
        <w:rPr>
          <w:rFonts w:eastAsia="Times New Roman"/>
          <w:b/>
          <w:bCs/>
          <w:sz w:val="22"/>
          <w:szCs w:val="22"/>
          <w:lang w:val="en-IN" w:eastAsia="en-IN"/>
        </w:rPr>
        <w:t xml:space="preserve"> </w:t>
      </w:r>
      <w:r w:rsidRPr="008473D3" w:rsidR="008473D3">
        <w:rPr>
          <w:rFonts w:eastAsia="Times New Roman"/>
          <w:b/>
          <w:bCs/>
          <w:sz w:val="22"/>
          <w:szCs w:val="22"/>
          <w:lang w:val="en-IN" w:eastAsia="en-IN"/>
        </w:rPr>
        <w:t xml:space="preserve">In the FR1 Urban Macro scenario with </w:t>
      </w:r>
      <w:r w:rsidR="00BF285D">
        <w:rPr>
          <w:rFonts w:eastAsia="Times New Roman"/>
          <w:b/>
          <w:bCs/>
          <w:sz w:val="22"/>
          <w:szCs w:val="22"/>
          <w:lang w:val="en-IN" w:eastAsia="en-IN"/>
        </w:rPr>
        <w:t>WA</w:t>
      </w:r>
      <w:r w:rsidRPr="008473D3" w:rsidR="008473D3">
        <w:rPr>
          <w:rFonts w:eastAsia="Times New Roman"/>
          <w:b/>
          <w:bCs/>
          <w:sz w:val="22"/>
          <w:szCs w:val="22"/>
          <w:lang w:val="en-IN" w:eastAsia="en-IN"/>
        </w:rPr>
        <w:t xml:space="preserve"> base stations and 10% </w:t>
      </w:r>
      <w:r w:rsidR="00BF285D">
        <w:rPr>
          <w:rFonts w:eastAsia="Times New Roman"/>
          <w:b/>
          <w:bCs/>
          <w:sz w:val="22"/>
          <w:szCs w:val="22"/>
          <w:lang w:val="en-IN" w:eastAsia="en-IN"/>
        </w:rPr>
        <w:t>GS</w:t>
      </w:r>
      <w:r w:rsidRPr="008473D3" w:rsidR="008473D3">
        <w:rPr>
          <w:rFonts w:eastAsia="Times New Roman"/>
          <w:b/>
          <w:bCs/>
          <w:sz w:val="22"/>
          <w:szCs w:val="22"/>
          <w:lang w:val="en-IN" w:eastAsia="en-IN"/>
        </w:rPr>
        <w:t xml:space="preserve">, the current -43 dBm in-band blocking limit is inadequate. Higher blocking levels are consistently observed with both TDD and SBFD as aggressors. These results exclude </w:t>
      </w:r>
      <w:proofErr w:type="spellStart"/>
      <w:r w:rsidRPr="008473D3" w:rsidR="008473D3">
        <w:rPr>
          <w:rFonts w:eastAsia="Times New Roman"/>
          <w:b/>
          <w:bCs/>
          <w:sz w:val="22"/>
          <w:szCs w:val="22"/>
          <w:lang w:val="en-IN" w:eastAsia="en-IN"/>
        </w:rPr>
        <w:t>gNB</w:t>
      </w:r>
      <w:proofErr w:type="spellEnd"/>
      <w:r w:rsidRPr="008473D3" w:rsidR="008473D3">
        <w:rPr>
          <w:rFonts w:eastAsia="Times New Roman"/>
          <w:b/>
          <w:bCs/>
          <w:sz w:val="22"/>
          <w:szCs w:val="22"/>
          <w:lang w:val="en-IN" w:eastAsia="en-IN"/>
        </w:rPr>
        <w:t>-to-</w:t>
      </w:r>
      <w:proofErr w:type="spellStart"/>
      <w:r w:rsidRPr="008473D3" w:rsidR="008473D3">
        <w:rPr>
          <w:rFonts w:eastAsia="Times New Roman"/>
          <w:b/>
          <w:bCs/>
          <w:sz w:val="22"/>
          <w:szCs w:val="22"/>
          <w:lang w:val="en-IN" w:eastAsia="en-IN"/>
        </w:rPr>
        <w:t>gNB</w:t>
      </w:r>
      <w:proofErr w:type="spellEnd"/>
      <w:r w:rsidRPr="008473D3" w:rsidR="008473D3">
        <w:rPr>
          <w:rFonts w:eastAsia="Times New Roman"/>
          <w:b/>
          <w:bCs/>
          <w:sz w:val="22"/>
          <w:szCs w:val="22"/>
          <w:lang w:val="en-IN" w:eastAsia="en-IN"/>
        </w:rPr>
        <w:t xml:space="preserve"> CLI mitigation, deployment constraints, and additional </w:t>
      </w:r>
      <w:proofErr w:type="spellStart"/>
      <w:r w:rsidRPr="008473D3" w:rsidR="008473D3">
        <w:rPr>
          <w:rFonts w:eastAsia="Times New Roman"/>
          <w:b/>
          <w:bCs/>
          <w:sz w:val="22"/>
          <w:szCs w:val="22"/>
          <w:lang w:val="en-IN" w:eastAsia="en-IN"/>
        </w:rPr>
        <w:t>analog</w:t>
      </w:r>
      <w:proofErr w:type="spellEnd"/>
      <w:r w:rsidRPr="008473D3" w:rsidR="008473D3">
        <w:rPr>
          <w:rFonts w:eastAsia="Times New Roman"/>
          <w:b/>
          <w:bCs/>
          <w:sz w:val="22"/>
          <w:szCs w:val="22"/>
          <w:lang w:val="en-IN" w:eastAsia="en-IN"/>
        </w:rPr>
        <w:t xml:space="preserve"> filtering. Therefore, relaxing the in-band blocking requirement is necessary to preserve receiver performance in high-interference environments</w:t>
      </w:r>
      <w:r w:rsidRPr="006F7C4F">
        <w:rPr>
          <w:rFonts w:eastAsia="Times New Roman"/>
          <w:b/>
          <w:bCs/>
          <w:sz w:val="22"/>
          <w:szCs w:val="22"/>
          <w:lang w:val="en-IN" w:eastAsia="en-IN"/>
        </w:rPr>
        <w:t>.</w:t>
      </w:r>
    </w:p>
    <w:p w:rsidR="00C34D3F" w:rsidP="006F7C4F" w:rsidRDefault="00C34D3F" w14:paraId="1C8F4AC5" w14:textId="77777777">
      <w:pPr>
        <w:jc w:val="both"/>
        <w:rPr>
          <w:rFonts w:eastAsia="Times New Roman"/>
          <w:b/>
          <w:bCs/>
          <w:sz w:val="22"/>
          <w:szCs w:val="22"/>
          <w:lang w:val="en-IN" w:eastAsia="en-IN"/>
        </w:rPr>
      </w:pPr>
    </w:p>
    <w:p w:rsidRPr="0047134E" w:rsidR="0047134E" w:rsidP="0047134E" w:rsidRDefault="0047134E" w14:paraId="38F6940A" w14:textId="62CB0100">
      <w:pPr>
        <w:jc w:val="both"/>
        <w:rPr>
          <w:b w:val="1"/>
          <w:bCs w:val="1"/>
          <w:sz w:val="22"/>
          <w:szCs w:val="22"/>
        </w:rPr>
      </w:pPr>
      <w:r w:rsidRPr="6E27AAD2" w:rsidR="17260FE8">
        <w:rPr>
          <w:b w:val="1"/>
          <w:bCs w:val="1"/>
          <w:sz w:val="22"/>
          <w:szCs w:val="22"/>
        </w:rPr>
        <w:t xml:space="preserve">Proposal </w:t>
      </w:r>
      <w:r w:rsidRPr="6E27AAD2" w:rsidR="3930856D">
        <w:rPr>
          <w:b w:val="1"/>
          <w:bCs w:val="1"/>
          <w:sz w:val="22"/>
          <w:szCs w:val="22"/>
        </w:rPr>
        <w:t>3</w:t>
      </w:r>
      <w:r w:rsidRPr="6E27AAD2" w:rsidR="17260FE8">
        <w:rPr>
          <w:b w:val="1"/>
          <w:bCs w:val="1"/>
          <w:sz w:val="22"/>
          <w:szCs w:val="22"/>
        </w:rPr>
        <w:t xml:space="preserve">:  </w:t>
      </w:r>
      <w:r w:rsidRPr="6E27AAD2" w:rsidR="590D84F3">
        <w:rPr>
          <w:b w:val="1"/>
          <w:bCs w:val="1"/>
          <w:sz w:val="22"/>
          <w:szCs w:val="22"/>
        </w:rPr>
        <w:t>In FR1 U</w:t>
      </w:r>
      <w:r w:rsidRPr="6E27AAD2" w:rsidR="52629BD8">
        <w:rPr>
          <w:b w:val="1"/>
          <w:bCs w:val="1"/>
          <w:sz w:val="22"/>
          <w:szCs w:val="22"/>
        </w:rPr>
        <w:t>Ma</w:t>
      </w:r>
      <w:r w:rsidRPr="6E27AAD2" w:rsidR="590D84F3">
        <w:rPr>
          <w:b w:val="1"/>
          <w:bCs w:val="1"/>
          <w:sz w:val="22"/>
          <w:szCs w:val="22"/>
        </w:rPr>
        <w:t xml:space="preserve"> with </w:t>
      </w:r>
      <w:r w:rsidRPr="6E27AAD2" w:rsidR="590D84F3">
        <w:rPr>
          <w:b w:val="1"/>
          <w:bCs w:val="1"/>
          <w:sz w:val="22"/>
          <w:szCs w:val="22"/>
        </w:rPr>
        <w:t>WA</w:t>
      </w:r>
      <w:r w:rsidRPr="6E27AAD2" w:rsidR="590D84F3">
        <w:rPr>
          <w:b w:val="1"/>
          <w:bCs w:val="1"/>
          <w:sz w:val="22"/>
          <w:szCs w:val="22"/>
        </w:rPr>
        <w:t xml:space="preserve"> base stations and 10–20% </w:t>
      </w:r>
      <w:r w:rsidRPr="6E27AAD2" w:rsidR="590D84F3">
        <w:rPr>
          <w:b w:val="1"/>
          <w:bCs w:val="1"/>
          <w:sz w:val="22"/>
          <w:szCs w:val="22"/>
        </w:rPr>
        <w:t>GS</w:t>
      </w:r>
      <w:r w:rsidRPr="6E27AAD2" w:rsidR="590D84F3">
        <w:rPr>
          <w:b w:val="1"/>
          <w:bCs w:val="1"/>
          <w:sz w:val="22"/>
          <w:szCs w:val="22"/>
        </w:rPr>
        <w:t xml:space="preserve">, the current -43 dBm in-band blocking requirement is insufficient due to significantly elevated blocking levels. In the absence of </w:t>
      </w:r>
      <w:r w:rsidRPr="6E27AAD2" w:rsidR="590D84F3">
        <w:rPr>
          <w:b w:val="1"/>
          <w:bCs w:val="1"/>
          <w:sz w:val="22"/>
          <w:szCs w:val="22"/>
        </w:rPr>
        <w:t>gNB</w:t>
      </w:r>
      <w:r w:rsidRPr="6E27AAD2" w:rsidR="590D84F3">
        <w:rPr>
          <w:b w:val="1"/>
          <w:bCs w:val="1"/>
          <w:sz w:val="22"/>
          <w:szCs w:val="22"/>
        </w:rPr>
        <w:t>-to-</w:t>
      </w:r>
      <w:r w:rsidRPr="6E27AAD2" w:rsidR="590D84F3">
        <w:rPr>
          <w:b w:val="1"/>
          <w:bCs w:val="1"/>
          <w:sz w:val="22"/>
          <w:szCs w:val="22"/>
        </w:rPr>
        <w:t>gNB</w:t>
      </w:r>
      <w:r w:rsidRPr="6E27AAD2" w:rsidR="590D84F3">
        <w:rPr>
          <w:b w:val="1"/>
          <w:bCs w:val="1"/>
          <w:sz w:val="22"/>
          <w:szCs w:val="22"/>
        </w:rPr>
        <w:t xml:space="preserve"> CLI mitigation or </w:t>
      </w:r>
      <w:r w:rsidRPr="6E27AAD2" w:rsidR="590D84F3">
        <w:rPr>
          <w:b w:val="1"/>
          <w:bCs w:val="1"/>
          <w:sz w:val="22"/>
          <w:szCs w:val="22"/>
        </w:rPr>
        <w:t>analog</w:t>
      </w:r>
      <w:r w:rsidRPr="6E27AAD2" w:rsidR="590D84F3">
        <w:rPr>
          <w:b w:val="1"/>
          <w:bCs w:val="1"/>
          <w:sz w:val="22"/>
          <w:szCs w:val="22"/>
        </w:rPr>
        <w:t xml:space="preserve"> filtering, a higher in-band blocking threshold is necessary to ensure reliable system performance.</w:t>
      </w:r>
    </w:p>
    <w:p w:rsidRPr="00013003" w:rsidR="00C34D3F" w:rsidP="006F7C4F" w:rsidRDefault="00C34D3F" w14:paraId="2B1AD9DE" w14:textId="77777777">
      <w:pPr>
        <w:jc w:val="both"/>
        <w:rPr>
          <w:rFonts w:eastAsia="Times New Roman"/>
          <w:b/>
          <w:bCs/>
          <w:sz w:val="14"/>
          <w:szCs w:val="14"/>
          <w:lang w:val="en-IN" w:eastAsia="en-IN"/>
        </w:rPr>
      </w:pPr>
    </w:p>
    <w:p w:rsidR="008878C3" w:rsidP="008878C3" w:rsidRDefault="008878C3" w14:paraId="440F64F0" w14:textId="515CFA51">
      <w:pPr>
        <w:pStyle w:val="Heading2"/>
        <w:spacing w:line="259" w:lineRule="auto"/>
        <w:ind w:left="1276" w:hanging="708"/>
        <w:jc w:val="left"/>
        <w:rPr>
          <w:rFonts w:ascii="Times New Roman" w:hAnsi="Times New Roman"/>
          <w:b/>
          <w:bCs/>
        </w:rPr>
      </w:pPr>
      <w:r w:rsidRPr="008878C3">
        <w:rPr>
          <w:rFonts w:ascii="Times New Roman" w:hAnsi="Times New Roman"/>
          <w:b/>
          <w:bCs/>
        </w:rPr>
        <w:t>In-band blocking for FR1 MR BS</w:t>
      </w:r>
    </w:p>
    <w:p w:rsidR="008878C3" w:rsidP="008878C3" w:rsidRDefault="008878C3" w14:paraId="76FBE956" w14:textId="1097C856">
      <w:pPr>
        <w:rPr>
          <w:lang w:eastAsia="zh-CN"/>
        </w:rPr>
      </w:pPr>
    </w:p>
    <w:tbl>
      <w:tblPr>
        <w:tblStyle w:val="TableGrid"/>
        <w:tblW w:w="0" w:type="auto"/>
        <w:tblLook w:val="04A0" w:firstRow="1" w:lastRow="0" w:firstColumn="1" w:lastColumn="0" w:noHBand="0" w:noVBand="1"/>
      </w:tblPr>
      <w:tblGrid>
        <w:gridCol w:w="9350"/>
      </w:tblGrid>
      <w:tr w:rsidR="008878C3" w:rsidTr="008878C3" w14:paraId="02786947" w14:textId="77777777">
        <w:tc>
          <w:tcPr>
            <w:tcW w:w="9350" w:type="dxa"/>
          </w:tcPr>
          <w:p w:rsidRPr="00F31421" w:rsidR="008878C3" w:rsidP="00F31421" w:rsidRDefault="008878C3" w14:paraId="03A6C36B" w14:textId="77777777">
            <w:pPr>
              <w:pStyle w:val="ListParagraph"/>
              <w:numPr>
                <w:ilvl w:val="0"/>
                <w:numId w:val="22"/>
              </w:numPr>
              <w:spacing w:after="120"/>
              <w:ind w:left="720"/>
              <w:jc w:val="both"/>
              <w:rPr>
                <w:rFonts w:ascii="Times New Roman" w:hAnsi="Times New Roman" w:eastAsia="SimSun"/>
                <w:szCs w:val="24"/>
              </w:rPr>
            </w:pPr>
            <w:r w:rsidRPr="00F31421">
              <w:rPr>
                <w:rFonts w:ascii="Times New Roman" w:hAnsi="Times New Roman" w:eastAsia="SimSun"/>
                <w:szCs w:val="24"/>
              </w:rPr>
              <w:t>FFS on this issue</w:t>
            </w:r>
          </w:p>
          <w:p w:rsidRPr="00F31421" w:rsidR="008878C3" w:rsidP="00F31421" w:rsidRDefault="008878C3" w14:paraId="2FA39B37" w14:textId="77777777">
            <w:pPr>
              <w:pStyle w:val="ListParagraph"/>
              <w:numPr>
                <w:ilvl w:val="1"/>
                <w:numId w:val="22"/>
              </w:numPr>
              <w:overflowPunct w:val="0"/>
              <w:autoSpaceDE w:val="0"/>
              <w:autoSpaceDN w:val="0"/>
              <w:adjustRightInd w:val="0"/>
              <w:spacing w:after="180"/>
              <w:jc w:val="both"/>
              <w:textAlignment w:val="baseline"/>
              <w:rPr>
                <w:rFonts w:ascii="Times New Roman" w:hAnsi="Times New Roman" w:eastAsia="SimSun"/>
                <w:szCs w:val="24"/>
              </w:rPr>
            </w:pPr>
            <w:r w:rsidRPr="00F31421">
              <w:rPr>
                <w:rFonts w:ascii="Times New Roman" w:hAnsi="Times New Roman" w:eastAsia="SimSun"/>
                <w:szCs w:val="24"/>
              </w:rPr>
              <w:t>Option 1:</w:t>
            </w:r>
            <w:r w:rsidRPr="00F31421">
              <w:rPr>
                <w:rFonts w:ascii="Times New Roman" w:hAnsi="Times New Roman"/>
              </w:rPr>
              <w:t xml:space="preserve"> </w:t>
            </w:r>
            <w:r w:rsidRPr="00F31421">
              <w:rPr>
                <w:rFonts w:ascii="Times New Roman" w:hAnsi="Times New Roman"/>
                <w:szCs w:val="24"/>
              </w:rPr>
              <w:t>The IBB requirements of FR1 micro scenario can reuse existing requirements</w:t>
            </w:r>
          </w:p>
          <w:p w:rsidRPr="00F31421" w:rsidR="008878C3" w:rsidP="00F31421" w:rsidRDefault="008878C3" w14:paraId="3286616D" w14:textId="77777777">
            <w:pPr>
              <w:pStyle w:val="ListParagraph"/>
              <w:numPr>
                <w:ilvl w:val="1"/>
                <w:numId w:val="22"/>
              </w:numPr>
              <w:overflowPunct w:val="0"/>
              <w:autoSpaceDE w:val="0"/>
              <w:autoSpaceDN w:val="0"/>
              <w:adjustRightInd w:val="0"/>
              <w:spacing w:after="180"/>
              <w:jc w:val="both"/>
              <w:textAlignment w:val="baseline"/>
              <w:rPr>
                <w:rFonts w:ascii="Times New Roman" w:hAnsi="Times New Roman" w:eastAsia="SimSun"/>
                <w:szCs w:val="24"/>
              </w:rPr>
            </w:pPr>
            <w:r w:rsidRPr="00F31421">
              <w:rPr>
                <w:rFonts w:ascii="Times New Roman" w:hAnsi="Times New Roman" w:eastAsia="SimSun"/>
                <w:szCs w:val="24"/>
              </w:rPr>
              <w:t xml:space="preserve">Option 2: </w:t>
            </w:r>
            <w:bookmarkStart w:name="_Hlk197348728" w:id="16"/>
            <w:r w:rsidRPr="00F31421">
              <w:rPr>
                <w:rFonts w:ascii="Times New Roman" w:hAnsi="Times New Roman"/>
              </w:rPr>
              <w:t>Introduce a new in-band blocking requirement for FR1 MR SBFD BS of -4 dBm</w:t>
            </w:r>
            <w:bookmarkEnd w:id="16"/>
          </w:p>
          <w:p w:rsidRPr="00F31421" w:rsidR="008878C3" w:rsidP="00F31421" w:rsidRDefault="008878C3" w14:paraId="68546145" w14:textId="77777777">
            <w:pPr>
              <w:pStyle w:val="ListParagraph"/>
              <w:numPr>
                <w:ilvl w:val="1"/>
                <w:numId w:val="22"/>
              </w:numPr>
              <w:overflowPunct w:val="0"/>
              <w:autoSpaceDE w:val="0"/>
              <w:autoSpaceDN w:val="0"/>
              <w:adjustRightInd w:val="0"/>
              <w:spacing w:after="180"/>
              <w:jc w:val="both"/>
              <w:textAlignment w:val="baseline"/>
              <w:rPr>
                <w:rFonts w:ascii="Times New Roman" w:hAnsi="Times New Roman" w:eastAsia="SimSun"/>
                <w:szCs w:val="24"/>
              </w:rPr>
            </w:pPr>
            <w:r w:rsidRPr="00F31421">
              <w:rPr>
                <w:rFonts w:ascii="Times New Roman" w:hAnsi="Times New Roman" w:eastAsia="SimSun"/>
                <w:szCs w:val="24"/>
              </w:rPr>
              <w:t xml:space="preserve">Option 3: </w:t>
            </w:r>
            <w:r w:rsidRPr="00F31421">
              <w:rPr>
                <w:rFonts w:ascii="Times New Roman" w:hAnsi="Times New Roman"/>
              </w:rPr>
              <w:t>propose to define the in-band blocking requirement as -38dBm under the assumption of without any analog filtering design after the LNA of receiver chain which is close to 100% grid shift in the practical deployment</w:t>
            </w:r>
          </w:p>
          <w:p w:rsidRPr="008878C3" w:rsidR="008878C3" w:rsidP="00F31421" w:rsidRDefault="008878C3" w14:paraId="6EB3CACF" w14:textId="04487154">
            <w:pPr>
              <w:pStyle w:val="ListParagraph"/>
              <w:numPr>
                <w:ilvl w:val="1"/>
                <w:numId w:val="22"/>
              </w:numPr>
              <w:overflowPunct w:val="0"/>
              <w:autoSpaceDE w:val="0"/>
              <w:autoSpaceDN w:val="0"/>
              <w:adjustRightInd w:val="0"/>
              <w:spacing w:after="180"/>
              <w:jc w:val="both"/>
              <w:textAlignment w:val="baseline"/>
              <w:rPr>
                <w:rFonts w:eastAsia="SimSun"/>
                <w:szCs w:val="24"/>
              </w:rPr>
            </w:pPr>
            <w:r w:rsidRPr="00F31421">
              <w:rPr>
                <w:rFonts w:ascii="Times New Roman" w:hAnsi="Times New Roman" w:eastAsia="SimSun"/>
                <w:szCs w:val="24"/>
              </w:rPr>
              <w:t xml:space="preserve">Option 4: </w:t>
            </w:r>
            <w:r w:rsidRPr="00F31421">
              <w:rPr>
                <w:rFonts w:ascii="Times New Roman" w:hAnsi="Times New Roman"/>
              </w:rPr>
              <w:t>Define in-band blocking interferer signal power to -1.7 dBm for FR1 Medium Range BSs</w:t>
            </w:r>
          </w:p>
        </w:tc>
      </w:tr>
    </w:tbl>
    <w:p w:rsidR="008878C3" w:rsidP="008878C3" w:rsidRDefault="008878C3" w14:paraId="29ED4F81" w14:textId="77777777">
      <w:pPr>
        <w:rPr>
          <w:lang w:eastAsia="zh-CN"/>
        </w:rPr>
      </w:pPr>
    </w:p>
    <w:p w:rsidR="00865D3A" w:rsidP="00865D3A" w:rsidRDefault="003211F5" w14:paraId="37E380B6" w14:textId="0422A4E3">
      <w:pPr>
        <w:jc w:val="both"/>
        <w:rPr>
          <w:rFonts w:eastAsia="Times New Roman"/>
          <w:b/>
          <w:bCs/>
          <w:sz w:val="22"/>
          <w:szCs w:val="22"/>
          <w:lang w:val="en-IN" w:eastAsia="en-IN"/>
        </w:rPr>
      </w:pPr>
      <w:r w:rsidRPr="003211F5">
        <w:rPr>
          <w:sz w:val="22"/>
          <w:szCs w:val="22"/>
          <w:lang w:eastAsia="zh-CN"/>
        </w:rPr>
        <w:lastRenderedPageBreak/>
        <w:t>Building upon the simulation results presented in our previous paper [4], we make the following observations regarding the FR1 MR BS</w:t>
      </w:r>
      <w:r>
        <w:rPr>
          <w:sz w:val="22"/>
          <w:szCs w:val="22"/>
          <w:lang w:eastAsia="zh-CN"/>
        </w:rPr>
        <w:t>.</w:t>
      </w:r>
    </w:p>
    <w:p w:rsidR="00927E53" w:rsidP="008878C3" w:rsidRDefault="00927E53" w14:paraId="24765C13" w14:textId="77777777">
      <w:pPr>
        <w:rPr>
          <w:lang w:eastAsia="zh-CN"/>
        </w:rPr>
      </w:pPr>
    </w:p>
    <w:p w:rsidRPr="006B631D" w:rsidR="006B631D" w:rsidP="006B631D" w:rsidRDefault="006B631D" w14:paraId="33737B5A" w14:textId="1A33B650">
      <w:pPr>
        <w:jc w:val="both"/>
        <w:rPr>
          <w:rFonts w:eastAsia="Times New Roman"/>
          <w:b/>
          <w:bCs/>
          <w:sz w:val="22"/>
          <w:szCs w:val="22"/>
          <w:lang w:val="en-IN" w:eastAsia="en-IN"/>
        </w:rPr>
      </w:pPr>
      <w:r w:rsidRPr="006B631D">
        <w:rPr>
          <w:rFonts w:eastAsia="Times New Roman"/>
          <w:b/>
          <w:bCs/>
          <w:sz w:val="22"/>
          <w:szCs w:val="22"/>
          <w:lang w:val="en-IN" w:eastAsia="en-IN"/>
        </w:rPr>
        <w:t xml:space="preserve">Observation </w:t>
      </w:r>
      <w:r w:rsidR="00D11652">
        <w:rPr>
          <w:rFonts w:eastAsia="Times New Roman"/>
          <w:b/>
          <w:bCs/>
          <w:sz w:val="22"/>
          <w:szCs w:val="22"/>
          <w:lang w:val="en-IN" w:eastAsia="en-IN"/>
        </w:rPr>
        <w:t>5</w:t>
      </w:r>
      <w:r w:rsidRPr="006B631D">
        <w:rPr>
          <w:rFonts w:eastAsia="Times New Roman"/>
          <w:b/>
          <w:bCs/>
          <w:sz w:val="22"/>
          <w:szCs w:val="22"/>
          <w:lang w:val="en-IN" w:eastAsia="en-IN"/>
        </w:rPr>
        <w:t>:</w:t>
      </w:r>
      <w:r>
        <w:rPr>
          <w:rFonts w:eastAsia="Times New Roman"/>
          <w:b/>
          <w:bCs/>
          <w:sz w:val="22"/>
          <w:szCs w:val="22"/>
          <w:lang w:val="en-IN" w:eastAsia="en-IN"/>
        </w:rPr>
        <w:t xml:space="preserve"> </w:t>
      </w:r>
      <w:r w:rsidRPr="006B631D">
        <w:rPr>
          <w:rFonts w:eastAsia="Times New Roman"/>
          <w:b/>
          <w:bCs/>
          <w:sz w:val="22"/>
          <w:szCs w:val="22"/>
          <w:lang w:val="en-IN" w:eastAsia="en-IN"/>
        </w:rPr>
        <w:t xml:space="preserve">In the FR1 </w:t>
      </w:r>
      <w:r>
        <w:rPr>
          <w:rFonts w:eastAsia="Times New Roman"/>
          <w:b/>
          <w:bCs/>
          <w:sz w:val="22"/>
          <w:szCs w:val="22"/>
          <w:lang w:val="en-IN" w:eastAsia="en-IN"/>
        </w:rPr>
        <w:t xml:space="preserve">MR </w:t>
      </w:r>
      <w:r w:rsidR="000D0445">
        <w:rPr>
          <w:rFonts w:eastAsia="Times New Roman"/>
          <w:b/>
          <w:bCs/>
          <w:sz w:val="22"/>
          <w:szCs w:val="22"/>
          <w:lang w:val="en-IN" w:eastAsia="en-IN"/>
        </w:rPr>
        <w:t xml:space="preserve">BS </w:t>
      </w:r>
      <w:r w:rsidRPr="006B631D" w:rsidR="000D0445">
        <w:rPr>
          <w:rFonts w:eastAsia="Times New Roman"/>
          <w:b/>
          <w:bCs/>
          <w:sz w:val="22"/>
          <w:szCs w:val="22"/>
          <w:lang w:val="en-IN" w:eastAsia="en-IN"/>
        </w:rPr>
        <w:t>scenario</w:t>
      </w:r>
      <w:r w:rsidRPr="006B631D">
        <w:rPr>
          <w:rFonts w:eastAsia="Times New Roman"/>
          <w:b/>
          <w:bCs/>
          <w:sz w:val="22"/>
          <w:szCs w:val="22"/>
          <w:lang w:val="en-IN" w:eastAsia="en-IN"/>
        </w:rPr>
        <w:t xml:space="preserve"> with a medium-area BS and a 10% </w:t>
      </w:r>
      <w:r w:rsidR="00D11652">
        <w:rPr>
          <w:rFonts w:eastAsia="Times New Roman"/>
          <w:b/>
          <w:bCs/>
          <w:sz w:val="22"/>
          <w:szCs w:val="22"/>
          <w:lang w:val="en-IN" w:eastAsia="en-IN"/>
        </w:rPr>
        <w:t>GS</w:t>
      </w:r>
      <w:r w:rsidRPr="006B631D">
        <w:rPr>
          <w:rFonts w:eastAsia="Times New Roman"/>
          <w:b/>
          <w:bCs/>
          <w:sz w:val="22"/>
          <w:szCs w:val="22"/>
          <w:lang w:val="en-IN" w:eastAsia="en-IN"/>
        </w:rPr>
        <w:t>, the current in-band blocking requirement of -38 dBm needs to be increased.</w:t>
      </w:r>
    </w:p>
    <w:p w:rsidRPr="006B631D" w:rsidR="006B631D" w:rsidP="006B631D" w:rsidRDefault="006B631D" w14:paraId="704FF6C5" w14:textId="77777777">
      <w:pPr>
        <w:jc w:val="both"/>
        <w:rPr>
          <w:rFonts w:eastAsia="Times New Roman"/>
          <w:b/>
          <w:bCs/>
          <w:sz w:val="22"/>
          <w:szCs w:val="22"/>
          <w:lang w:val="en-IN" w:eastAsia="en-IN"/>
        </w:rPr>
      </w:pPr>
    </w:p>
    <w:p w:rsidRPr="000D0445" w:rsidR="00927E53" w:rsidP="000D0445" w:rsidRDefault="000D0445" w14:paraId="680414A5" w14:textId="592050BD">
      <w:pPr>
        <w:jc w:val="both"/>
        <w:rPr>
          <w:rFonts w:eastAsia="Times New Roman"/>
          <w:b/>
          <w:bCs/>
          <w:sz w:val="22"/>
          <w:szCs w:val="22"/>
          <w:lang w:val="en-IN" w:eastAsia="en-IN"/>
        </w:rPr>
      </w:pPr>
      <w:r w:rsidRPr="000D0445">
        <w:rPr>
          <w:rFonts w:eastAsia="Times New Roman"/>
          <w:b/>
          <w:bCs/>
          <w:sz w:val="22"/>
          <w:szCs w:val="22"/>
          <w:lang w:val="en-IN" w:eastAsia="en-IN"/>
        </w:rPr>
        <w:t xml:space="preserve">Proposal </w:t>
      </w:r>
      <w:r w:rsidR="00797BC4">
        <w:rPr>
          <w:rFonts w:eastAsia="Times New Roman"/>
          <w:b/>
          <w:bCs/>
          <w:sz w:val="22"/>
          <w:szCs w:val="22"/>
          <w:lang w:val="en-IN" w:eastAsia="en-IN"/>
        </w:rPr>
        <w:t>4</w:t>
      </w:r>
      <w:r w:rsidRPr="000D0445">
        <w:rPr>
          <w:rFonts w:eastAsia="Times New Roman"/>
          <w:b/>
          <w:bCs/>
          <w:sz w:val="22"/>
          <w:szCs w:val="22"/>
          <w:lang w:val="en-IN" w:eastAsia="en-IN"/>
        </w:rPr>
        <w:t>:</w:t>
      </w:r>
      <w:r>
        <w:rPr>
          <w:rFonts w:eastAsia="Times New Roman"/>
          <w:b/>
          <w:bCs/>
          <w:sz w:val="22"/>
          <w:szCs w:val="22"/>
          <w:lang w:val="en-IN" w:eastAsia="en-IN"/>
        </w:rPr>
        <w:t xml:space="preserve"> </w:t>
      </w:r>
      <w:r w:rsidRPr="000D0445">
        <w:rPr>
          <w:rFonts w:eastAsia="Times New Roman"/>
          <w:b/>
          <w:bCs/>
          <w:sz w:val="22"/>
          <w:szCs w:val="22"/>
          <w:lang w:val="en-IN" w:eastAsia="en-IN"/>
        </w:rPr>
        <w:t xml:space="preserve">For the FR1 MR BS scenario with a 10% </w:t>
      </w:r>
      <w:r w:rsidR="0010549C">
        <w:rPr>
          <w:rFonts w:eastAsia="Times New Roman"/>
          <w:b/>
          <w:bCs/>
          <w:sz w:val="22"/>
          <w:szCs w:val="22"/>
          <w:lang w:val="en-IN" w:eastAsia="en-IN"/>
        </w:rPr>
        <w:t>GS</w:t>
      </w:r>
      <w:r w:rsidRPr="000D0445">
        <w:rPr>
          <w:rFonts w:eastAsia="Times New Roman"/>
          <w:b/>
          <w:bCs/>
          <w:sz w:val="22"/>
          <w:szCs w:val="22"/>
          <w:lang w:val="en-IN" w:eastAsia="en-IN"/>
        </w:rPr>
        <w:t>, the current in-band blocking requirement of -38 dBm should be increased to account for the elevated levels of in-band blocking power. Additionally, we agree with Option 2 to introduce a new in-band blocking requirement of -4 dBm for FR1 MR SBFD BSs.</w:t>
      </w:r>
    </w:p>
    <w:p w:rsidRPr="008042A8" w:rsidR="00446A67" w:rsidP="00446A67" w:rsidRDefault="00446A67" w14:paraId="39D8FC7F" w14:textId="63E94546">
      <w:pPr>
        <w:pStyle w:val="Heading1"/>
        <w:rPr>
          <w:rFonts w:ascii="Times New Roman" w:hAnsi="Times New Roman"/>
          <w:b/>
          <w:bCs/>
        </w:rPr>
      </w:pPr>
      <w:r w:rsidRPr="008042A8">
        <w:rPr>
          <w:rFonts w:ascii="Times New Roman" w:hAnsi="Times New Roman"/>
          <w:b/>
          <w:bCs/>
        </w:rPr>
        <w:t>Conclusion</w:t>
      </w:r>
    </w:p>
    <w:p w:rsidRPr="001F3A17" w:rsidR="00446A67" w:rsidP="002D2966" w:rsidRDefault="00446A67" w14:paraId="545B6C67" w14:textId="7715416D">
      <w:pPr>
        <w:spacing w:before="120" w:after="120"/>
        <w:jc w:val="both"/>
        <w:rPr>
          <w:sz w:val="22"/>
          <w:szCs w:val="22"/>
        </w:rPr>
      </w:pPr>
      <w:r w:rsidRPr="001F3A17">
        <w:rPr>
          <w:sz w:val="22"/>
          <w:szCs w:val="22"/>
        </w:rPr>
        <w:t>In this contribution, we discuss about</w:t>
      </w:r>
      <w:r w:rsidR="00EB746E">
        <w:rPr>
          <w:sz w:val="22"/>
          <w:szCs w:val="22"/>
        </w:rPr>
        <w:t xml:space="preserve"> in-band </w:t>
      </w:r>
      <w:r w:rsidR="008E4D8D">
        <w:rPr>
          <w:sz w:val="22"/>
          <w:szCs w:val="22"/>
        </w:rPr>
        <w:t xml:space="preserve">blocking </w:t>
      </w:r>
      <w:r w:rsidRPr="001F3A17" w:rsidR="008E4D8D">
        <w:rPr>
          <w:sz w:val="22"/>
          <w:szCs w:val="22"/>
        </w:rPr>
        <w:t>with</w:t>
      </w:r>
      <w:r w:rsidRPr="001F3A17">
        <w:rPr>
          <w:sz w:val="22"/>
          <w:szCs w:val="22"/>
        </w:rPr>
        <w:t xml:space="preserve"> the following proposal</w:t>
      </w:r>
      <w:r w:rsidRPr="001F3A17" w:rsidR="00D26EF8">
        <w:rPr>
          <w:sz w:val="22"/>
          <w:szCs w:val="22"/>
        </w:rPr>
        <w:t xml:space="preserve">s and </w:t>
      </w:r>
      <w:r w:rsidRPr="001F3A17" w:rsidR="00A3154F">
        <w:rPr>
          <w:sz w:val="22"/>
          <w:szCs w:val="22"/>
        </w:rPr>
        <w:t>observations.</w:t>
      </w:r>
    </w:p>
    <w:p w:rsidR="00797BC4" w:rsidP="00797BC4" w:rsidRDefault="00797BC4" w14:paraId="7046DFDE" w14:textId="77777777">
      <w:pPr>
        <w:jc w:val="both"/>
        <w:rPr>
          <w:b/>
          <w:sz w:val="22"/>
          <w:szCs w:val="22"/>
          <w:lang w:eastAsia="ja-JP"/>
        </w:rPr>
      </w:pPr>
      <w:r w:rsidRPr="00CF43A4">
        <w:rPr>
          <w:b/>
          <w:bCs/>
          <w:sz w:val="22"/>
          <w:szCs w:val="22"/>
          <w:lang w:eastAsia="ja-JP"/>
        </w:rPr>
        <w:t xml:space="preserve">Observation </w:t>
      </w:r>
      <w:r>
        <w:rPr>
          <w:b/>
          <w:bCs/>
          <w:sz w:val="22"/>
          <w:szCs w:val="22"/>
          <w:lang w:eastAsia="ja-JP"/>
        </w:rPr>
        <w:t>1</w:t>
      </w:r>
      <w:r w:rsidRPr="00CF43A4">
        <w:rPr>
          <w:b/>
          <w:bCs/>
          <w:sz w:val="22"/>
          <w:szCs w:val="22"/>
          <w:lang w:eastAsia="ja-JP"/>
        </w:rPr>
        <w:t xml:space="preserve">: For </w:t>
      </w:r>
      <w:proofErr w:type="spellStart"/>
      <w:r w:rsidRPr="00CF43A4">
        <w:rPr>
          <w:b/>
          <w:bCs/>
          <w:sz w:val="22"/>
          <w:szCs w:val="22"/>
          <w:lang w:eastAsia="ja-JP"/>
        </w:rPr>
        <w:t>UMa</w:t>
      </w:r>
      <w:proofErr w:type="spellEnd"/>
      <w:r w:rsidRPr="00CF43A4">
        <w:rPr>
          <w:b/>
          <w:bCs/>
          <w:sz w:val="22"/>
          <w:szCs w:val="22"/>
          <w:lang w:eastAsia="ja-JP"/>
        </w:rPr>
        <w:t xml:space="preserve"> deployments with SBFD as the aggressor network and a 100% grid shift, the 99th percentile of in-band blocking power is 13.54 dBm. With a 10% grid shift, the in-band blocking power is approximately 40.18 dB above the current threshold of -43 dBm.</w:t>
      </w:r>
    </w:p>
    <w:p w:rsidR="00797BC4" w:rsidP="00797BC4" w:rsidRDefault="00797BC4" w14:paraId="77C338CB" w14:textId="77777777">
      <w:pPr>
        <w:autoSpaceDN w:val="0"/>
        <w:spacing w:line="254" w:lineRule="auto"/>
        <w:jc w:val="both"/>
        <w:rPr>
          <w:b/>
          <w:bCs/>
          <w:sz w:val="22"/>
          <w:szCs w:val="22"/>
        </w:rPr>
      </w:pPr>
    </w:p>
    <w:p w:rsidRPr="00647C00" w:rsidR="00797BC4" w:rsidP="00797BC4" w:rsidRDefault="00797BC4" w14:paraId="4A6DFF73" w14:textId="77777777">
      <w:pPr>
        <w:jc w:val="both"/>
        <w:rPr>
          <w:b/>
          <w:bCs/>
          <w:sz w:val="22"/>
          <w:szCs w:val="22"/>
          <w:lang w:val="en-US"/>
        </w:rPr>
      </w:pPr>
      <w:r w:rsidRPr="00CF43A4">
        <w:rPr>
          <w:b/>
          <w:bCs/>
          <w:sz w:val="22"/>
          <w:szCs w:val="22"/>
          <w:lang w:val="en-US"/>
        </w:rPr>
        <w:t xml:space="preserve">Observation </w:t>
      </w:r>
      <w:r>
        <w:rPr>
          <w:b/>
          <w:bCs/>
          <w:sz w:val="22"/>
          <w:szCs w:val="22"/>
          <w:lang w:val="en-US"/>
        </w:rPr>
        <w:t>2</w:t>
      </w:r>
      <w:r w:rsidRPr="00CF43A4">
        <w:rPr>
          <w:b/>
          <w:bCs/>
          <w:sz w:val="22"/>
          <w:szCs w:val="22"/>
          <w:lang w:val="en-US"/>
        </w:rPr>
        <w:t xml:space="preserve">: For a 10% grid shift, adjacent channel CLI power dominates the total in-band blocking power. </w:t>
      </w:r>
      <w:proofErr w:type="spellStart"/>
      <w:r w:rsidRPr="00CF43A4">
        <w:rPr>
          <w:b/>
          <w:bCs/>
          <w:sz w:val="22"/>
          <w:szCs w:val="22"/>
          <w:lang w:val="en-US"/>
        </w:rPr>
        <w:t>gNB</w:t>
      </w:r>
      <w:proofErr w:type="spellEnd"/>
      <w:r w:rsidRPr="00CF43A4">
        <w:rPr>
          <w:b/>
          <w:bCs/>
          <w:sz w:val="22"/>
          <w:szCs w:val="22"/>
          <w:lang w:val="en-US"/>
        </w:rPr>
        <w:t>-to-</w:t>
      </w:r>
      <w:proofErr w:type="spellStart"/>
      <w:r w:rsidRPr="00CF43A4">
        <w:rPr>
          <w:b/>
          <w:bCs/>
          <w:sz w:val="22"/>
          <w:szCs w:val="22"/>
          <w:lang w:val="en-US"/>
        </w:rPr>
        <w:t>gNB</w:t>
      </w:r>
      <w:proofErr w:type="spellEnd"/>
      <w:r w:rsidRPr="00CF43A4">
        <w:rPr>
          <w:b/>
          <w:bCs/>
          <w:sz w:val="22"/>
          <w:szCs w:val="22"/>
          <w:lang w:val="en-US"/>
        </w:rPr>
        <w:t xml:space="preserve"> CLI handling schemes or deployment restrictions are required to mitigate this impact.</w:t>
      </w:r>
    </w:p>
    <w:p w:rsidR="00797BC4" w:rsidP="00797BC4" w:rsidRDefault="00797BC4" w14:paraId="044AF38C" w14:textId="77777777">
      <w:pPr>
        <w:autoSpaceDN w:val="0"/>
        <w:spacing w:line="254" w:lineRule="auto"/>
        <w:jc w:val="both"/>
        <w:rPr>
          <w:b/>
          <w:bCs/>
          <w:sz w:val="22"/>
          <w:szCs w:val="22"/>
        </w:rPr>
      </w:pPr>
    </w:p>
    <w:p w:rsidR="00797BC4" w:rsidP="00797BC4" w:rsidRDefault="00797BC4" w14:paraId="69EF0814" w14:textId="77777777">
      <w:pPr>
        <w:jc w:val="both"/>
        <w:rPr>
          <w:b/>
          <w:sz w:val="22"/>
          <w:szCs w:val="22"/>
          <w:lang w:eastAsia="ja-JP"/>
        </w:rPr>
      </w:pPr>
      <w:r w:rsidRPr="000A0026">
        <w:rPr>
          <w:b/>
          <w:sz w:val="22"/>
          <w:szCs w:val="22"/>
        </w:rPr>
        <w:t xml:space="preserve">Observation </w:t>
      </w:r>
      <w:r>
        <w:rPr>
          <w:b/>
          <w:sz w:val="22"/>
          <w:szCs w:val="22"/>
        </w:rPr>
        <w:t>3</w:t>
      </w:r>
      <w:r w:rsidRPr="000A0026">
        <w:rPr>
          <w:b/>
          <w:sz w:val="22"/>
          <w:szCs w:val="22"/>
        </w:rPr>
        <w:t xml:space="preserve">: </w:t>
      </w:r>
      <w:r w:rsidRPr="00EB5176">
        <w:rPr>
          <w:b/>
          <w:sz w:val="22"/>
          <w:szCs w:val="22"/>
        </w:rPr>
        <w:t>The 99th percentile in-band blocking power exceeds the –43 dBm requirement by 14.95 dB, 28.90 dB, and 42.22 dB for grid shifts of 100%, 20%, and 10%, respectively—indicating increased interference as grid shift decreases.</w:t>
      </w:r>
    </w:p>
    <w:p w:rsidR="00797BC4" w:rsidP="00797BC4" w:rsidRDefault="00797BC4" w14:paraId="2D85327F" w14:textId="77777777">
      <w:pPr>
        <w:autoSpaceDN w:val="0"/>
        <w:spacing w:line="254" w:lineRule="auto"/>
        <w:jc w:val="both"/>
        <w:rPr>
          <w:b/>
          <w:bCs/>
          <w:sz w:val="22"/>
          <w:szCs w:val="22"/>
        </w:rPr>
      </w:pPr>
    </w:p>
    <w:p w:rsidRPr="006F7C4F" w:rsidR="00BF285D" w:rsidP="00BF285D" w:rsidRDefault="00BF285D" w14:paraId="7883B5A0" w14:textId="77777777">
      <w:pPr>
        <w:jc w:val="both"/>
        <w:rPr>
          <w:rFonts w:eastAsia="Times New Roman"/>
          <w:b/>
          <w:bCs/>
          <w:sz w:val="22"/>
          <w:szCs w:val="22"/>
          <w:lang w:val="en-IN" w:eastAsia="en-IN"/>
        </w:rPr>
      </w:pPr>
      <w:r w:rsidRPr="006F7C4F">
        <w:rPr>
          <w:rFonts w:eastAsia="Times New Roman"/>
          <w:b/>
          <w:bCs/>
          <w:sz w:val="22"/>
          <w:szCs w:val="22"/>
          <w:lang w:val="en-IN" w:eastAsia="en-IN"/>
        </w:rPr>
        <w:t xml:space="preserve">Observation </w:t>
      </w:r>
      <w:r>
        <w:rPr>
          <w:rFonts w:eastAsia="Times New Roman"/>
          <w:b/>
          <w:bCs/>
          <w:sz w:val="22"/>
          <w:szCs w:val="22"/>
          <w:lang w:val="en-IN" w:eastAsia="en-IN"/>
        </w:rPr>
        <w:t>4</w:t>
      </w:r>
      <w:r w:rsidRPr="006F7C4F">
        <w:rPr>
          <w:rFonts w:eastAsia="Times New Roman"/>
          <w:b/>
          <w:bCs/>
          <w:sz w:val="22"/>
          <w:szCs w:val="22"/>
          <w:lang w:val="en-IN" w:eastAsia="en-IN"/>
        </w:rPr>
        <w:t>:</w:t>
      </w:r>
      <w:r>
        <w:rPr>
          <w:rFonts w:eastAsia="Times New Roman"/>
          <w:b/>
          <w:bCs/>
          <w:sz w:val="22"/>
          <w:szCs w:val="22"/>
          <w:lang w:val="en-IN" w:eastAsia="en-IN"/>
        </w:rPr>
        <w:t xml:space="preserve"> </w:t>
      </w:r>
      <w:r w:rsidRPr="008473D3">
        <w:rPr>
          <w:rFonts w:eastAsia="Times New Roman"/>
          <w:b/>
          <w:bCs/>
          <w:sz w:val="22"/>
          <w:szCs w:val="22"/>
          <w:lang w:val="en-IN" w:eastAsia="en-IN"/>
        </w:rPr>
        <w:t xml:space="preserve">In the FR1 Urban Macro scenario with </w:t>
      </w:r>
      <w:r>
        <w:rPr>
          <w:rFonts w:eastAsia="Times New Roman"/>
          <w:b/>
          <w:bCs/>
          <w:sz w:val="22"/>
          <w:szCs w:val="22"/>
          <w:lang w:val="en-IN" w:eastAsia="en-IN"/>
        </w:rPr>
        <w:t>WA</w:t>
      </w:r>
      <w:r w:rsidRPr="008473D3">
        <w:rPr>
          <w:rFonts w:eastAsia="Times New Roman"/>
          <w:b/>
          <w:bCs/>
          <w:sz w:val="22"/>
          <w:szCs w:val="22"/>
          <w:lang w:val="en-IN" w:eastAsia="en-IN"/>
        </w:rPr>
        <w:t xml:space="preserve"> base stations and 10% </w:t>
      </w:r>
      <w:r>
        <w:rPr>
          <w:rFonts w:eastAsia="Times New Roman"/>
          <w:b/>
          <w:bCs/>
          <w:sz w:val="22"/>
          <w:szCs w:val="22"/>
          <w:lang w:val="en-IN" w:eastAsia="en-IN"/>
        </w:rPr>
        <w:t>GS</w:t>
      </w:r>
      <w:r w:rsidRPr="008473D3">
        <w:rPr>
          <w:rFonts w:eastAsia="Times New Roman"/>
          <w:b/>
          <w:bCs/>
          <w:sz w:val="22"/>
          <w:szCs w:val="22"/>
          <w:lang w:val="en-IN" w:eastAsia="en-IN"/>
        </w:rPr>
        <w:t xml:space="preserve">, the current -43 dBm in-band blocking limit is inadequate. Higher blocking levels are consistently observed with both TDD and SBFD as aggressors. These results exclude </w:t>
      </w:r>
      <w:proofErr w:type="spellStart"/>
      <w:r w:rsidRPr="008473D3">
        <w:rPr>
          <w:rFonts w:eastAsia="Times New Roman"/>
          <w:b/>
          <w:bCs/>
          <w:sz w:val="22"/>
          <w:szCs w:val="22"/>
          <w:lang w:val="en-IN" w:eastAsia="en-IN"/>
        </w:rPr>
        <w:t>gNB</w:t>
      </w:r>
      <w:proofErr w:type="spellEnd"/>
      <w:r w:rsidRPr="008473D3">
        <w:rPr>
          <w:rFonts w:eastAsia="Times New Roman"/>
          <w:b/>
          <w:bCs/>
          <w:sz w:val="22"/>
          <w:szCs w:val="22"/>
          <w:lang w:val="en-IN" w:eastAsia="en-IN"/>
        </w:rPr>
        <w:t>-to-</w:t>
      </w:r>
      <w:proofErr w:type="spellStart"/>
      <w:r w:rsidRPr="008473D3">
        <w:rPr>
          <w:rFonts w:eastAsia="Times New Roman"/>
          <w:b/>
          <w:bCs/>
          <w:sz w:val="22"/>
          <w:szCs w:val="22"/>
          <w:lang w:val="en-IN" w:eastAsia="en-IN"/>
        </w:rPr>
        <w:t>gNB</w:t>
      </w:r>
      <w:proofErr w:type="spellEnd"/>
      <w:r w:rsidRPr="008473D3">
        <w:rPr>
          <w:rFonts w:eastAsia="Times New Roman"/>
          <w:b/>
          <w:bCs/>
          <w:sz w:val="22"/>
          <w:szCs w:val="22"/>
          <w:lang w:val="en-IN" w:eastAsia="en-IN"/>
        </w:rPr>
        <w:t xml:space="preserve"> CLI mitigation, deployment constraints, and additional </w:t>
      </w:r>
      <w:proofErr w:type="spellStart"/>
      <w:r w:rsidRPr="008473D3">
        <w:rPr>
          <w:rFonts w:eastAsia="Times New Roman"/>
          <w:b/>
          <w:bCs/>
          <w:sz w:val="22"/>
          <w:szCs w:val="22"/>
          <w:lang w:val="en-IN" w:eastAsia="en-IN"/>
        </w:rPr>
        <w:t>analog</w:t>
      </w:r>
      <w:proofErr w:type="spellEnd"/>
      <w:r w:rsidRPr="008473D3">
        <w:rPr>
          <w:rFonts w:eastAsia="Times New Roman"/>
          <w:b/>
          <w:bCs/>
          <w:sz w:val="22"/>
          <w:szCs w:val="22"/>
          <w:lang w:val="en-IN" w:eastAsia="en-IN"/>
        </w:rPr>
        <w:t xml:space="preserve"> filtering. Therefore, relaxing the in-band blocking requirement is necessary to preserve receiver performance in high-interference environments</w:t>
      </w:r>
      <w:r w:rsidRPr="006F7C4F">
        <w:rPr>
          <w:rFonts w:eastAsia="Times New Roman"/>
          <w:b/>
          <w:bCs/>
          <w:sz w:val="22"/>
          <w:szCs w:val="22"/>
          <w:lang w:val="en-IN" w:eastAsia="en-IN"/>
        </w:rPr>
        <w:t>.</w:t>
      </w:r>
    </w:p>
    <w:p w:rsidRPr="006F7C4F" w:rsidR="00797BC4" w:rsidP="00797BC4" w:rsidRDefault="00797BC4" w14:paraId="140F6E0F" w14:textId="77777777">
      <w:pPr>
        <w:jc w:val="both"/>
        <w:rPr>
          <w:rFonts w:eastAsia="Times New Roman"/>
          <w:b/>
          <w:bCs/>
          <w:sz w:val="22"/>
          <w:szCs w:val="22"/>
          <w:lang w:val="en-IN" w:eastAsia="en-IN"/>
        </w:rPr>
      </w:pPr>
    </w:p>
    <w:p w:rsidRPr="006B631D" w:rsidR="0010549C" w:rsidP="0010549C" w:rsidRDefault="0010549C" w14:paraId="65D750DF" w14:textId="77777777">
      <w:pPr>
        <w:jc w:val="both"/>
        <w:rPr>
          <w:rFonts w:eastAsia="Times New Roman"/>
          <w:b/>
          <w:bCs/>
          <w:sz w:val="22"/>
          <w:szCs w:val="22"/>
          <w:lang w:val="en-IN" w:eastAsia="en-IN"/>
        </w:rPr>
      </w:pPr>
      <w:r w:rsidRPr="006B631D">
        <w:rPr>
          <w:rFonts w:eastAsia="Times New Roman"/>
          <w:b/>
          <w:bCs/>
          <w:sz w:val="22"/>
          <w:szCs w:val="22"/>
          <w:lang w:val="en-IN" w:eastAsia="en-IN"/>
        </w:rPr>
        <w:t xml:space="preserve">Observation </w:t>
      </w:r>
      <w:r>
        <w:rPr>
          <w:rFonts w:eastAsia="Times New Roman"/>
          <w:b/>
          <w:bCs/>
          <w:sz w:val="22"/>
          <w:szCs w:val="22"/>
          <w:lang w:val="en-IN" w:eastAsia="en-IN"/>
        </w:rPr>
        <w:t>5</w:t>
      </w:r>
      <w:r w:rsidRPr="006B631D">
        <w:rPr>
          <w:rFonts w:eastAsia="Times New Roman"/>
          <w:b/>
          <w:bCs/>
          <w:sz w:val="22"/>
          <w:szCs w:val="22"/>
          <w:lang w:val="en-IN" w:eastAsia="en-IN"/>
        </w:rPr>
        <w:t>:</w:t>
      </w:r>
      <w:r>
        <w:rPr>
          <w:rFonts w:eastAsia="Times New Roman"/>
          <w:b/>
          <w:bCs/>
          <w:sz w:val="22"/>
          <w:szCs w:val="22"/>
          <w:lang w:val="en-IN" w:eastAsia="en-IN"/>
        </w:rPr>
        <w:t xml:space="preserve"> </w:t>
      </w:r>
      <w:r w:rsidRPr="006B631D">
        <w:rPr>
          <w:rFonts w:eastAsia="Times New Roman"/>
          <w:b/>
          <w:bCs/>
          <w:sz w:val="22"/>
          <w:szCs w:val="22"/>
          <w:lang w:val="en-IN" w:eastAsia="en-IN"/>
        </w:rPr>
        <w:t xml:space="preserve">In the FR1 </w:t>
      </w:r>
      <w:r>
        <w:rPr>
          <w:rFonts w:eastAsia="Times New Roman"/>
          <w:b/>
          <w:bCs/>
          <w:sz w:val="22"/>
          <w:szCs w:val="22"/>
          <w:lang w:val="en-IN" w:eastAsia="en-IN"/>
        </w:rPr>
        <w:t xml:space="preserve">MR BS </w:t>
      </w:r>
      <w:r w:rsidRPr="006B631D">
        <w:rPr>
          <w:rFonts w:eastAsia="Times New Roman"/>
          <w:b/>
          <w:bCs/>
          <w:sz w:val="22"/>
          <w:szCs w:val="22"/>
          <w:lang w:val="en-IN" w:eastAsia="en-IN"/>
        </w:rPr>
        <w:t xml:space="preserve">scenario with a medium-area BS and a 10% </w:t>
      </w:r>
      <w:r>
        <w:rPr>
          <w:rFonts w:eastAsia="Times New Roman"/>
          <w:b/>
          <w:bCs/>
          <w:sz w:val="22"/>
          <w:szCs w:val="22"/>
          <w:lang w:val="en-IN" w:eastAsia="en-IN"/>
        </w:rPr>
        <w:t>GS</w:t>
      </w:r>
      <w:r w:rsidRPr="006B631D">
        <w:rPr>
          <w:rFonts w:eastAsia="Times New Roman"/>
          <w:b/>
          <w:bCs/>
          <w:sz w:val="22"/>
          <w:szCs w:val="22"/>
          <w:lang w:val="en-IN" w:eastAsia="en-IN"/>
        </w:rPr>
        <w:t>, the current in-band blocking requirement of -38 dBm needs to be increased.</w:t>
      </w:r>
    </w:p>
    <w:p w:rsidRPr="006B631D" w:rsidR="00797BC4" w:rsidP="00797BC4" w:rsidRDefault="00797BC4" w14:paraId="136288D8" w14:textId="77777777">
      <w:pPr>
        <w:jc w:val="both"/>
        <w:rPr>
          <w:rFonts w:eastAsia="Times New Roman"/>
          <w:b/>
          <w:bCs/>
          <w:sz w:val="22"/>
          <w:szCs w:val="22"/>
          <w:lang w:val="en-IN" w:eastAsia="en-IN"/>
        </w:rPr>
      </w:pPr>
    </w:p>
    <w:p w:rsidRPr="00797BC4" w:rsidR="00720927" w:rsidP="00720927" w:rsidRDefault="00720927" w14:paraId="6586FC9B" w14:textId="77777777">
      <w:pPr>
        <w:autoSpaceDN w:val="0"/>
        <w:spacing w:line="254" w:lineRule="auto"/>
        <w:jc w:val="both"/>
        <w:rPr>
          <w:b/>
          <w:bCs/>
          <w:sz w:val="22"/>
          <w:szCs w:val="22"/>
        </w:rPr>
      </w:pPr>
      <w:r w:rsidRPr="00797BC4">
        <w:rPr>
          <w:b/>
          <w:bCs/>
          <w:sz w:val="22"/>
          <w:szCs w:val="22"/>
        </w:rPr>
        <w:t xml:space="preserve">Proposal 1: </w:t>
      </w:r>
      <w:r w:rsidRPr="00720927">
        <w:rPr>
          <w:b/>
          <w:bCs/>
          <w:sz w:val="22"/>
          <w:szCs w:val="22"/>
        </w:rPr>
        <w:t>We propose focusing Rel-19 efforts on SBFD-TDD scenarios with at least 10% GS. SBFD-SBFD requirements should be addressed in a future WI based on deployment priorities</w:t>
      </w:r>
      <w:r w:rsidRPr="00797BC4">
        <w:rPr>
          <w:b/>
          <w:bCs/>
          <w:sz w:val="22"/>
          <w:szCs w:val="22"/>
        </w:rPr>
        <w:t>.</w:t>
      </w:r>
    </w:p>
    <w:p w:rsidRPr="00797BC4" w:rsidR="00797BC4" w:rsidP="00797BC4" w:rsidRDefault="00797BC4" w14:paraId="7E120D6C" w14:textId="77777777">
      <w:pPr>
        <w:autoSpaceDN w:val="0"/>
        <w:spacing w:line="254" w:lineRule="auto"/>
        <w:jc w:val="both"/>
        <w:rPr>
          <w:b/>
          <w:bCs/>
          <w:sz w:val="22"/>
          <w:szCs w:val="22"/>
        </w:rPr>
      </w:pPr>
    </w:p>
    <w:p w:rsidR="00A51EC9" w:rsidP="00A51EC9" w:rsidRDefault="00A51EC9" w14:paraId="27921435" w14:textId="77777777">
      <w:pPr>
        <w:jc w:val="both"/>
        <w:rPr>
          <w:b/>
          <w:bCs/>
          <w:sz w:val="22"/>
          <w:szCs w:val="22"/>
          <w:lang w:val="en-US"/>
        </w:rPr>
      </w:pPr>
      <w:r w:rsidRPr="0CDA97C4">
        <w:rPr>
          <w:b/>
          <w:bCs/>
          <w:sz w:val="22"/>
          <w:szCs w:val="22"/>
        </w:rPr>
        <w:t xml:space="preserve">Proposal </w:t>
      </w:r>
      <w:r>
        <w:rPr>
          <w:b/>
          <w:bCs/>
          <w:sz w:val="22"/>
          <w:szCs w:val="22"/>
        </w:rPr>
        <w:t>2</w:t>
      </w:r>
      <w:r w:rsidRPr="0CDA97C4">
        <w:rPr>
          <w:b/>
          <w:bCs/>
          <w:sz w:val="22"/>
          <w:szCs w:val="22"/>
        </w:rPr>
        <w:t xml:space="preserve">:  </w:t>
      </w:r>
      <w:r w:rsidRPr="00A51EC9">
        <w:rPr>
          <w:b/>
          <w:bCs/>
          <w:sz w:val="22"/>
          <w:szCs w:val="22"/>
        </w:rPr>
        <w:t>For the 10% GS requirement, interference and in-band blocking should be evaluated after RAN1 studies CLI handling for adjacent channels or relevant deployment restrictions</w:t>
      </w:r>
      <w:r w:rsidRPr="0CDA97C4">
        <w:rPr>
          <w:b/>
          <w:bCs/>
          <w:sz w:val="22"/>
          <w:szCs w:val="22"/>
          <w:lang w:val="en-US"/>
        </w:rPr>
        <w:t>.</w:t>
      </w:r>
    </w:p>
    <w:p w:rsidR="00797BC4" w:rsidP="00797BC4" w:rsidRDefault="00797BC4" w14:paraId="08B08366" w14:textId="77777777">
      <w:pPr>
        <w:jc w:val="both"/>
        <w:rPr>
          <w:b/>
          <w:bCs/>
          <w:sz w:val="22"/>
          <w:szCs w:val="22"/>
          <w:lang w:val="en-US"/>
        </w:rPr>
      </w:pPr>
    </w:p>
    <w:p w:rsidRPr="0047134E" w:rsidR="00D11652" w:rsidP="00D11652" w:rsidRDefault="00D11652" w14:paraId="7CDE45CB" w14:textId="77777777">
      <w:pPr>
        <w:jc w:val="both"/>
        <w:rPr>
          <w:b/>
          <w:bCs/>
          <w:sz w:val="22"/>
          <w:szCs w:val="22"/>
        </w:rPr>
      </w:pPr>
      <w:r w:rsidRPr="0CDA97C4">
        <w:rPr>
          <w:b/>
          <w:bCs/>
          <w:sz w:val="22"/>
          <w:szCs w:val="22"/>
        </w:rPr>
        <w:t xml:space="preserve">Proposal </w:t>
      </w:r>
      <w:r>
        <w:rPr>
          <w:b/>
          <w:bCs/>
          <w:sz w:val="22"/>
          <w:szCs w:val="22"/>
        </w:rPr>
        <w:t>3</w:t>
      </w:r>
      <w:r w:rsidRPr="0CDA97C4">
        <w:rPr>
          <w:b/>
          <w:bCs/>
          <w:sz w:val="22"/>
          <w:szCs w:val="22"/>
        </w:rPr>
        <w:t xml:space="preserve">:  </w:t>
      </w:r>
      <w:r w:rsidRPr="00D11652">
        <w:rPr>
          <w:b/>
          <w:bCs/>
          <w:sz w:val="22"/>
          <w:szCs w:val="22"/>
        </w:rPr>
        <w:t xml:space="preserve">In FR1 Urban Macro scenarios with </w:t>
      </w:r>
      <w:r>
        <w:rPr>
          <w:b/>
          <w:bCs/>
          <w:sz w:val="22"/>
          <w:szCs w:val="22"/>
        </w:rPr>
        <w:t>WA</w:t>
      </w:r>
      <w:r w:rsidRPr="00D11652">
        <w:rPr>
          <w:b/>
          <w:bCs/>
          <w:sz w:val="22"/>
          <w:szCs w:val="22"/>
        </w:rPr>
        <w:t xml:space="preserve"> base stations and 10–20% </w:t>
      </w:r>
      <w:r>
        <w:rPr>
          <w:b/>
          <w:bCs/>
          <w:sz w:val="22"/>
          <w:szCs w:val="22"/>
        </w:rPr>
        <w:t>GS</w:t>
      </w:r>
      <w:r w:rsidRPr="00D11652">
        <w:rPr>
          <w:b/>
          <w:bCs/>
          <w:sz w:val="22"/>
          <w:szCs w:val="22"/>
        </w:rPr>
        <w:t xml:space="preserve">, the current -43 dBm in-band blocking requirement is insufficient due to significantly elevated blocking levels. In the absence of </w:t>
      </w:r>
      <w:proofErr w:type="spellStart"/>
      <w:r w:rsidRPr="00D11652">
        <w:rPr>
          <w:b/>
          <w:bCs/>
          <w:sz w:val="22"/>
          <w:szCs w:val="22"/>
        </w:rPr>
        <w:t>gNB</w:t>
      </w:r>
      <w:proofErr w:type="spellEnd"/>
      <w:r w:rsidRPr="00D11652">
        <w:rPr>
          <w:b/>
          <w:bCs/>
          <w:sz w:val="22"/>
          <w:szCs w:val="22"/>
        </w:rPr>
        <w:t>-to-</w:t>
      </w:r>
      <w:proofErr w:type="spellStart"/>
      <w:r w:rsidRPr="00D11652">
        <w:rPr>
          <w:b/>
          <w:bCs/>
          <w:sz w:val="22"/>
          <w:szCs w:val="22"/>
        </w:rPr>
        <w:t>gNB</w:t>
      </w:r>
      <w:proofErr w:type="spellEnd"/>
      <w:r w:rsidRPr="00D11652">
        <w:rPr>
          <w:b/>
          <w:bCs/>
          <w:sz w:val="22"/>
          <w:szCs w:val="22"/>
        </w:rPr>
        <w:t xml:space="preserve"> CLI mitigation or </w:t>
      </w:r>
      <w:proofErr w:type="spellStart"/>
      <w:r w:rsidRPr="00D11652">
        <w:rPr>
          <w:b/>
          <w:bCs/>
          <w:sz w:val="22"/>
          <w:szCs w:val="22"/>
        </w:rPr>
        <w:t>analog</w:t>
      </w:r>
      <w:proofErr w:type="spellEnd"/>
      <w:r w:rsidRPr="00D11652">
        <w:rPr>
          <w:b/>
          <w:bCs/>
          <w:sz w:val="22"/>
          <w:szCs w:val="22"/>
        </w:rPr>
        <w:t xml:space="preserve"> filtering, a higher in-band blocking threshold is necessary to ensure reliable system performance.</w:t>
      </w:r>
    </w:p>
    <w:p w:rsidR="00797BC4" w:rsidP="00797BC4" w:rsidRDefault="00797BC4" w14:paraId="7CC7F127" w14:textId="77777777">
      <w:pPr>
        <w:jc w:val="both"/>
        <w:rPr>
          <w:b/>
          <w:bCs/>
          <w:sz w:val="22"/>
          <w:szCs w:val="22"/>
          <w:lang w:val="en-US"/>
        </w:rPr>
      </w:pPr>
    </w:p>
    <w:p w:rsidRPr="0010549C" w:rsidR="007B5E82" w:rsidP="00F95E2A" w:rsidRDefault="0010549C" w14:paraId="78270EB7" w14:textId="580B42E3">
      <w:pPr>
        <w:jc w:val="both"/>
        <w:rPr>
          <w:rFonts w:eastAsia="Times New Roman"/>
          <w:b/>
          <w:bCs/>
          <w:sz w:val="22"/>
          <w:szCs w:val="22"/>
          <w:lang w:val="en-IN" w:eastAsia="en-IN"/>
        </w:rPr>
      </w:pPr>
      <w:r w:rsidRPr="000D0445">
        <w:rPr>
          <w:rFonts w:eastAsia="Times New Roman"/>
          <w:b/>
          <w:bCs/>
          <w:sz w:val="22"/>
          <w:szCs w:val="22"/>
          <w:lang w:val="en-IN" w:eastAsia="en-IN"/>
        </w:rPr>
        <w:t xml:space="preserve">Proposal </w:t>
      </w:r>
      <w:r>
        <w:rPr>
          <w:rFonts w:eastAsia="Times New Roman"/>
          <w:b/>
          <w:bCs/>
          <w:sz w:val="22"/>
          <w:szCs w:val="22"/>
          <w:lang w:val="en-IN" w:eastAsia="en-IN"/>
        </w:rPr>
        <w:t>4</w:t>
      </w:r>
      <w:r w:rsidRPr="000D0445">
        <w:rPr>
          <w:rFonts w:eastAsia="Times New Roman"/>
          <w:b/>
          <w:bCs/>
          <w:sz w:val="22"/>
          <w:szCs w:val="22"/>
          <w:lang w:val="en-IN" w:eastAsia="en-IN"/>
        </w:rPr>
        <w:t>:</w:t>
      </w:r>
      <w:r>
        <w:rPr>
          <w:rFonts w:eastAsia="Times New Roman"/>
          <w:b/>
          <w:bCs/>
          <w:sz w:val="22"/>
          <w:szCs w:val="22"/>
          <w:lang w:val="en-IN" w:eastAsia="en-IN"/>
        </w:rPr>
        <w:t xml:space="preserve"> </w:t>
      </w:r>
      <w:r w:rsidRPr="000D0445">
        <w:rPr>
          <w:rFonts w:eastAsia="Times New Roman"/>
          <w:b/>
          <w:bCs/>
          <w:sz w:val="22"/>
          <w:szCs w:val="22"/>
          <w:lang w:val="en-IN" w:eastAsia="en-IN"/>
        </w:rPr>
        <w:t xml:space="preserve">For the FR1 MR BS scenario with a 10% </w:t>
      </w:r>
      <w:r>
        <w:rPr>
          <w:rFonts w:eastAsia="Times New Roman"/>
          <w:b/>
          <w:bCs/>
          <w:sz w:val="22"/>
          <w:szCs w:val="22"/>
          <w:lang w:val="en-IN" w:eastAsia="en-IN"/>
        </w:rPr>
        <w:t>GS</w:t>
      </w:r>
      <w:r w:rsidRPr="000D0445">
        <w:rPr>
          <w:rFonts w:eastAsia="Times New Roman"/>
          <w:b/>
          <w:bCs/>
          <w:sz w:val="22"/>
          <w:szCs w:val="22"/>
          <w:lang w:val="en-IN" w:eastAsia="en-IN"/>
        </w:rPr>
        <w:t>, the current in-band blocking requirement of -38 dBm should be increased to account for the elevated levels of in-band blocking power. Additionally, we agree with Option 2 to introduce a new in-band blocking requirement of -4 dBm for FR1 MR SBFD BSs.</w:t>
      </w:r>
    </w:p>
    <w:p w:rsidRPr="008042A8" w:rsidR="00446A67" w:rsidP="00446A67" w:rsidRDefault="00446A67" w14:paraId="1C092ADB" w14:textId="69A2B0B7">
      <w:pPr>
        <w:pStyle w:val="Heading1"/>
        <w:rPr>
          <w:rFonts w:ascii="Times New Roman" w:hAnsi="Times New Roman"/>
          <w:b/>
          <w:bCs/>
        </w:rPr>
      </w:pPr>
      <w:r w:rsidRPr="008042A8">
        <w:rPr>
          <w:rFonts w:ascii="Times New Roman" w:hAnsi="Times New Roman"/>
          <w:b/>
          <w:bCs/>
        </w:rPr>
        <w:lastRenderedPageBreak/>
        <w:t>Referen</w:t>
      </w:r>
      <w:r w:rsidRPr="008042A8" w:rsidR="00E37799">
        <w:rPr>
          <w:rFonts w:ascii="Times New Roman" w:hAnsi="Times New Roman"/>
          <w:b/>
          <w:bCs/>
        </w:rPr>
        <w:t>ce</w:t>
      </w:r>
    </w:p>
    <w:p w:rsidR="00767DF1" w:rsidP="00767DF1" w:rsidRDefault="002D749C" w14:paraId="026888EB" w14:textId="7C088A42">
      <w:pPr>
        <w:pStyle w:val="ListParagraph"/>
        <w:numPr>
          <w:ilvl w:val="0"/>
          <w:numId w:val="1"/>
        </w:numPr>
        <w:spacing w:after="120"/>
        <w:rPr>
          <w:rFonts w:ascii="Times New Roman" w:hAnsi="Times New Roman" w:eastAsia="tim"/>
          <w:color w:val="000000" w:themeColor="text1"/>
          <w:lang w:val="en-GB"/>
        </w:rPr>
      </w:pPr>
      <w:r w:rsidRPr="002D749C">
        <w:rPr>
          <w:rFonts w:ascii="Times New Roman" w:hAnsi="Times New Roman" w:eastAsia="tim"/>
          <w:color w:val="000000" w:themeColor="text1"/>
          <w:lang w:val="en-GB"/>
        </w:rPr>
        <w:t>R4-2504752</w:t>
      </w:r>
      <w:r>
        <w:rPr>
          <w:rFonts w:ascii="Times New Roman" w:hAnsi="Times New Roman" w:eastAsia="tim"/>
          <w:color w:val="000000" w:themeColor="text1"/>
          <w:lang w:val="en-GB"/>
        </w:rPr>
        <w:t xml:space="preserve"> </w:t>
      </w:r>
      <w:r w:rsidRPr="00E83BA2" w:rsidR="00E83BA2">
        <w:rPr>
          <w:rFonts w:ascii="Times New Roman" w:hAnsi="Times New Roman" w:eastAsia="tim"/>
          <w:color w:val="000000" w:themeColor="text1"/>
          <w:lang w:val="en-GB"/>
        </w:rPr>
        <w:t xml:space="preserve">Way Forward for [114bis][307] </w:t>
      </w:r>
      <w:proofErr w:type="spellStart"/>
      <w:r w:rsidRPr="00E83BA2" w:rsidR="00E83BA2">
        <w:rPr>
          <w:rFonts w:ascii="Times New Roman" w:hAnsi="Times New Roman" w:eastAsia="tim"/>
          <w:color w:val="000000" w:themeColor="text1"/>
          <w:lang w:val="en-GB"/>
        </w:rPr>
        <w:t>NR_duplex_evo_BSRF</w:t>
      </w:r>
      <w:proofErr w:type="spellEnd"/>
    </w:p>
    <w:p w:rsidRPr="00456CCF" w:rsidR="00BC0F06" w:rsidP="00767DF1" w:rsidRDefault="00883D98" w14:paraId="4D73526E" w14:textId="133736BE">
      <w:pPr>
        <w:pStyle w:val="ListParagraph"/>
        <w:numPr>
          <w:ilvl w:val="0"/>
          <w:numId w:val="1"/>
        </w:numPr>
        <w:spacing w:after="120"/>
        <w:rPr>
          <w:rFonts w:ascii="Times New Roman" w:hAnsi="Times New Roman" w:eastAsia="tim"/>
          <w:color w:val="000000" w:themeColor="text1"/>
          <w:lang w:val="en-GB"/>
        </w:rPr>
      </w:pPr>
      <w:r w:rsidRPr="00883D98">
        <w:rPr>
          <w:rFonts w:ascii="Times New Roman" w:hAnsi="Times New Roman" w:eastAsia="tim"/>
          <w:color w:val="000000" w:themeColor="text1"/>
          <w:lang w:val="en-GB"/>
        </w:rPr>
        <w:t>R4-2503299</w:t>
      </w:r>
      <w:r>
        <w:rPr>
          <w:rFonts w:ascii="Times New Roman" w:hAnsi="Times New Roman" w:eastAsia="tim"/>
          <w:color w:val="000000" w:themeColor="text1"/>
          <w:lang w:val="en-GB"/>
        </w:rPr>
        <w:t xml:space="preserve">, </w:t>
      </w:r>
      <w:r w:rsidRPr="00456CCF" w:rsidR="00456CCF">
        <w:rPr>
          <w:rFonts w:ascii="Times New Roman" w:hAnsi="Times New Roman" w:eastAsia="tim"/>
          <w:color w:val="000000" w:themeColor="text1"/>
          <w:lang w:val="en-GB"/>
        </w:rPr>
        <w:t>Views on modification of existing Rx requirements for SBFD</w:t>
      </w:r>
      <w:r w:rsidR="00456CCF">
        <w:rPr>
          <w:rFonts w:ascii="Times New Roman" w:hAnsi="Times New Roman" w:eastAsia="tim"/>
          <w:color w:val="000000" w:themeColor="text1"/>
          <w:lang w:val="en-GB"/>
        </w:rPr>
        <w:t>,</w:t>
      </w:r>
      <w:r w:rsidRPr="00767DF1" w:rsidR="00456CCF">
        <w:rPr>
          <w:rFonts w:ascii="Times New Roman" w:hAnsi="Times New Roman" w:eastAsia="SimSun"/>
          <w:color w:val="000000" w:themeColor="text1"/>
        </w:rPr>
        <w:t xml:space="preserve"> Tejas Networks Ltd.</w:t>
      </w:r>
    </w:p>
    <w:p w:rsidR="00456CCF" w:rsidP="00456CCF" w:rsidRDefault="00456CCF" w14:paraId="5B2A8583" w14:textId="77777777">
      <w:pPr>
        <w:pStyle w:val="ListParagraph"/>
        <w:numPr>
          <w:ilvl w:val="0"/>
          <w:numId w:val="1"/>
        </w:numPr>
        <w:suppressAutoHyphens/>
        <w:spacing w:after="120"/>
        <w:rPr>
          <w:rFonts w:ascii="Times New Roman" w:hAnsi="Times New Roman" w:eastAsia="SimSun"/>
          <w:color w:val="000000" w:themeColor="text1"/>
        </w:rPr>
      </w:pPr>
      <w:r w:rsidRPr="00767DF1">
        <w:rPr>
          <w:rFonts w:ascii="Times New Roman" w:hAnsi="Times New Roman" w:eastAsia="SimSun"/>
          <w:color w:val="000000" w:themeColor="text1"/>
        </w:rPr>
        <w:t>R4-2415046, Views on modification of existing Rx requirements for SBFD, Tejas Networks Ltd.</w:t>
      </w:r>
    </w:p>
    <w:p w:rsidRPr="00767DF1" w:rsidR="00456CCF" w:rsidP="00456CCF" w:rsidRDefault="00456CCF" w14:paraId="0950EA07" w14:textId="77777777">
      <w:pPr>
        <w:pStyle w:val="ListParagraph"/>
        <w:numPr>
          <w:ilvl w:val="0"/>
          <w:numId w:val="1"/>
        </w:numPr>
        <w:suppressAutoHyphens/>
        <w:spacing w:after="120"/>
        <w:rPr>
          <w:rFonts w:ascii="Times New Roman" w:hAnsi="Times New Roman" w:eastAsia="SimSun"/>
          <w:color w:val="000000" w:themeColor="text1"/>
        </w:rPr>
      </w:pPr>
      <w:r w:rsidRPr="004D47E6">
        <w:rPr>
          <w:rFonts w:ascii="Times New Roman" w:hAnsi="Times New Roman" w:eastAsia="SimSun"/>
          <w:color w:val="000000" w:themeColor="text1"/>
        </w:rPr>
        <w:t>R4-2417789</w:t>
      </w:r>
      <w:r>
        <w:rPr>
          <w:rFonts w:ascii="Times New Roman" w:hAnsi="Times New Roman" w:eastAsia="SimSun"/>
          <w:color w:val="000000" w:themeColor="text1"/>
        </w:rPr>
        <w:t xml:space="preserve">, </w:t>
      </w:r>
      <w:r w:rsidRPr="004D47E6">
        <w:rPr>
          <w:rFonts w:ascii="Times New Roman" w:hAnsi="Times New Roman" w:eastAsia="SimSun"/>
          <w:color w:val="000000" w:themeColor="text1"/>
        </w:rPr>
        <w:t>Views on modification of existing Rx requirements for SBFD</w:t>
      </w:r>
      <w:r>
        <w:rPr>
          <w:rFonts w:ascii="Times New Roman" w:hAnsi="Times New Roman" w:eastAsia="SimSun"/>
          <w:color w:val="000000" w:themeColor="text1"/>
        </w:rPr>
        <w:t>,</w:t>
      </w:r>
      <w:r w:rsidRPr="007B5E82">
        <w:rPr>
          <w:rFonts w:ascii="Times New Roman" w:hAnsi="Times New Roman" w:eastAsia="SimSun"/>
          <w:color w:val="000000" w:themeColor="text1"/>
        </w:rPr>
        <w:t xml:space="preserve"> </w:t>
      </w:r>
      <w:r w:rsidRPr="00767DF1">
        <w:rPr>
          <w:rFonts w:ascii="Times New Roman" w:hAnsi="Times New Roman" w:eastAsia="SimSun"/>
          <w:color w:val="000000" w:themeColor="text1"/>
        </w:rPr>
        <w:t>Tejas Networks Ltd.</w:t>
      </w:r>
    </w:p>
    <w:p w:rsidRPr="008B76ED" w:rsidR="000A29E1" w:rsidP="008B76ED" w:rsidRDefault="656D31DE" w14:paraId="6CBD6C24" w14:textId="3A68EA4C">
      <w:pPr>
        <w:pStyle w:val="ListParagraph"/>
        <w:numPr>
          <w:ilvl w:val="0"/>
          <w:numId w:val="1"/>
        </w:numPr>
        <w:spacing w:after="120"/>
        <w:rPr>
          <w:rFonts w:ascii="Times New Roman" w:hAnsi="Times New Roman" w:eastAsia="tim"/>
          <w:color w:val="000000" w:themeColor="text1"/>
          <w:lang w:val="en-GB"/>
        </w:rPr>
      </w:pPr>
      <w:r w:rsidRPr="00767DF1">
        <w:rPr>
          <w:rFonts w:ascii="Times New Roman" w:hAnsi="Times New Roman"/>
          <w:lang w:val="en-GB"/>
        </w:rPr>
        <w:t>TR 38.858, “Study on evolution of NR duplex operation</w:t>
      </w:r>
      <w:r w:rsidRPr="00767DF1" w:rsidR="46137A16">
        <w:rPr>
          <w:rFonts w:ascii="Times New Roman" w:hAnsi="Times New Roman"/>
          <w:lang w:val="en-GB"/>
        </w:rPr>
        <w:t>,”</w:t>
      </w:r>
      <w:r w:rsidRPr="00767DF1">
        <w:rPr>
          <w:rFonts w:ascii="Times New Roman" w:hAnsi="Times New Roman"/>
          <w:lang w:val="en-GB"/>
        </w:rPr>
        <w:t xml:space="preserve"> 3GPP. </w:t>
      </w:r>
      <w:bookmarkEnd w:id="7"/>
    </w:p>
    <w:sectPr w:rsidRPr="008B76ED" w:rsidR="000A29E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7B35" w:rsidP="00535554" w:rsidRDefault="00A67B35" w14:paraId="1D848AAA" w14:textId="77777777">
      <w:r>
        <w:separator/>
      </w:r>
    </w:p>
  </w:endnote>
  <w:endnote w:type="continuationSeparator" w:id="0">
    <w:p w:rsidR="00A67B35" w:rsidP="00535554" w:rsidRDefault="00A67B35" w14:paraId="23A513A8" w14:textId="77777777">
      <w:r>
        <w:continuationSeparator/>
      </w:r>
    </w:p>
  </w:endnote>
  <w:endnote w:type="continuationNotice" w:id="1">
    <w:p w:rsidR="00A67B35" w:rsidRDefault="00A67B35" w14:paraId="205B1CA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7B35" w:rsidP="00535554" w:rsidRDefault="00A67B35" w14:paraId="66946382" w14:textId="77777777">
      <w:r>
        <w:separator/>
      </w:r>
    </w:p>
  </w:footnote>
  <w:footnote w:type="continuationSeparator" w:id="0">
    <w:p w:rsidR="00A67B35" w:rsidP="00535554" w:rsidRDefault="00A67B35" w14:paraId="39AB5B54" w14:textId="77777777">
      <w:r>
        <w:continuationSeparator/>
      </w:r>
    </w:p>
  </w:footnote>
  <w:footnote w:type="continuationNotice" w:id="1">
    <w:p w:rsidR="00A67B35" w:rsidRDefault="00A67B35" w14:paraId="669AEFC8" w14:textId="77777777"/>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WG0WrHam" int2:invalidationBookmarkName="" int2:hashCode="sJ0IuCSomVftAu" int2:id="AkjY5SYj">
      <int2:state int2:type="AugLoop_Text_Critique" int2:value="Rejected"/>
    </int2:bookmark>
    <int2:bookmark int2:bookmarkName="_Int_hKLRLDOM" int2:invalidationBookmarkName="" int2:hashCode="CVXdgYIGpA6JEB" int2:id="48YLU1Ms">
      <int2:state int2:type="AugLoop_Text_Critique" int2:value="Rejected"/>
    </int2:bookmark>
    <int2:bookmark int2:bookmarkName="_Int_TXik7csr" int2:invalidationBookmarkName="" int2:hashCode="P3rqxhR7QBTNMW" int2:id="nmRgqnQX">
      <int2:state int2:type="AugLoop_Text_Critique" int2:value="Rejected"/>
    </int2:bookmark>
    <int2:bookmark int2:bookmarkName="_Int_y82Ws820" int2:invalidationBookmarkName="" int2:hashCode="Bb0TfYRQnF3yLR" int2:id="Zokrsjfs">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5" w15:restartNumberingAfterBreak="0">
    <w:nsid w:val="36B622E2"/>
    <w:multiLevelType w:val="multilevel"/>
    <w:tmpl w:val="67768F7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ascii="Times New Roman" w:hAnsi="Times New Roman" w:cs="Times New Roman"/>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A24846"/>
    <w:multiLevelType w:val="hybridMultilevel"/>
    <w:tmpl w:val="BD4A6174"/>
    <w:lvl w:ilvl="0" w:tplc="09C05EC6">
      <w:start w:val="1"/>
      <w:numFmt w:val="bullet"/>
      <w:lvlText w:val="•"/>
      <w:lvlJc w:val="left"/>
      <w:pPr>
        <w:tabs>
          <w:tab w:val="num" w:pos="720"/>
        </w:tabs>
        <w:ind w:left="720" w:hanging="360"/>
      </w:pPr>
      <w:rPr>
        <w:rFonts w:hint="default" w:ascii="Arial" w:hAnsi="Arial"/>
      </w:rPr>
    </w:lvl>
    <w:lvl w:ilvl="1" w:tplc="4D16C79A" w:tentative="1">
      <w:start w:val="1"/>
      <w:numFmt w:val="bullet"/>
      <w:lvlText w:val="•"/>
      <w:lvlJc w:val="left"/>
      <w:pPr>
        <w:tabs>
          <w:tab w:val="num" w:pos="1440"/>
        </w:tabs>
        <w:ind w:left="1440" w:hanging="360"/>
      </w:pPr>
      <w:rPr>
        <w:rFonts w:hint="default" w:ascii="Arial" w:hAnsi="Arial"/>
      </w:rPr>
    </w:lvl>
    <w:lvl w:ilvl="2" w:tplc="DD78F27A" w:tentative="1">
      <w:start w:val="1"/>
      <w:numFmt w:val="bullet"/>
      <w:lvlText w:val="•"/>
      <w:lvlJc w:val="left"/>
      <w:pPr>
        <w:tabs>
          <w:tab w:val="num" w:pos="2160"/>
        </w:tabs>
        <w:ind w:left="2160" w:hanging="360"/>
      </w:pPr>
      <w:rPr>
        <w:rFonts w:hint="default" w:ascii="Arial" w:hAnsi="Arial"/>
      </w:rPr>
    </w:lvl>
    <w:lvl w:ilvl="3" w:tplc="F3C8EA34" w:tentative="1">
      <w:start w:val="1"/>
      <w:numFmt w:val="bullet"/>
      <w:lvlText w:val="•"/>
      <w:lvlJc w:val="left"/>
      <w:pPr>
        <w:tabs>
          <w:tab w:val="num" w:pos="2880"/>
        </w:tabs>
        <w:ind w:left="2880" w:hanging="360"/>
      </w:pPr>
      <w:rPr>
        <w:rFonts w:hint="default" w:ascii="Arial" w:hAnsi="Arial"/>
      </w:rPr>
    </w:lvl>
    <w:lvl w:ilvl="4" w:tplc="5E38EE86" w:tentative="1">
      <w:start w:val="1"/>
      <w:numFmt w:val="bullet"/>
      <w:lvlText w:val="•"/>
      <w:lvlJc w:val="left"/>
      <w:pPr>
        <w:tabs>
          <w:tab w:val="num" w:pos="3600"/>
        </w:tabs>
        <w:ind w:left="3600" w:hanging="360"/>
      </w:pPr>
      <w:rPr>
        <w:rFonts w:hint="default" w:ascii="Arial" w:hAnsi="Arial"/>
      </w:rPr>
    </w:lvl>
    <w:lvl w:ilvl="5" w:tplc="3DC401E2" w:tentative="1">
      <w:start w:val="1"/>
      <w:numFmt w:val="bullet"/>
      <w:lvlText w:val="•"/>
      <w:lvlJc w:val="left"/>
      <w:pPr>
        <w:tabs>
          <w:tab w:val="num" w:pos="4320"/>
        </w:tabs>
        <w:ind w:left="4320" w:hanging="360"/>
      </w:pPr>
      <w:rPr>
        <w:rFonts w:hint="default" w:ascii="Arial" w:hAnsi="Arial"/>
      </w:rPr>
    </w:lvl>
    <w:lvl w:ilvl="6" w:tplc="8402B686" w:tentative="1">
      <w:start w:val="1"/>
      <w:numFmt w:val="bullet"/>
      <w:lvlText w:val="•"/>
      <w:lvlJc w:val="left"/>
      <w:pPr>
        <w:tabs>
          <w:tab w:val="num" w:pos="5040"/>
        </w:tabs>
        <w:ind w:left="5040" w:hanging="360"/>
      </w:pPr>
      <w:rPr>
        <w:rFonts w:hint="default" w:ascii="Arial" w:hAnsi="Arial"/>
      </w:rPr>
    </w:lvl>
    <w:lvl w:ilvl="7" w:tplc="A8C65798" w:tentative="1">
      <w:start w:val="1"/>
      <w:numFmt w:val="bullet"/>
      <w:lvlText w:val="•"/>
      <w:lvlJc w:val="left"/>
      <w:pPr>
        <w:tabs>
          <w:tab w:val="num" w:pos="5760"/>
        </w:tabs>
        <w:ind w:left="5760" w:hanging="360"/>
      </w:pPr>
      <w:rPr>
        <w:rFonts w:hint="default" w:ascii="Arial" w:hAnsi="Arial"/>
      </w:rPr>
    </w:lvl>
    <w:lvl w:ilvl="8" w:tplc="F9C81200" w:tentative="1">
      <w:start w:val="1"/>
      <w:numFmt w:val="bullet"/>
      <w:lvlText w:val="•"/>
      <w:lvlJc w:val="left"/>
      <w:pPr>
        <w:tabs>
          <w:tab w:val="num" w:pos="6480"/>
        </w:tabs>
        <w:ind w:left="6480" w:hanging="360"/>
      </w:pPr>
      <w:rPr>
        <w:rFonts w:hint="default" w:ascii="Arial" w:hAnsi="Arial"/>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13"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hint="default" w:ascii="Symbol" w:hAnsi="Symbol"/>
      </w:rPr>
    </w:lvl>
    <w:lvl w:ilvl="1" w:tplc="BEC07968">
      <w:start w:val="2"/>
      <w:numFmt w:val="bullet"/>
      <w:lvlText w:val="-"/>
      <w:lvlJc w:val="left"/>
      <w:pPr>
        <w:ind w:left="1080" w:hanging="360"/>
      </w:pPr>
      <w:rPr>
        <w:rFonts w:hint="eastAsia" w:ascii="New York" w:hAnsi="New York" w:eastAsia="New York" w:cs="SimSun"/>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17" w15:restartNumberingAfterBreak="0">
    <w:nsid w:val="5E5C4D0A"/>
    <w:multiLevelType w:val="hybridMultilevel"/>
    <w:tmpl w:val="1D8A7EB0"/>
    <w:lvl w:ilvl="0" w:tplc="04090003">
      <w:start w:val="1"/>
      <w:numFmt w:val="bullet"/>
      <w:lvlText w:val=""/>
      <w:lvlJc w:val="left"/>
      <w:pPr>
        <w:ind w:left="420" w:hanging="420"/>
      </w:pPr>
      <w:rPr>
        <w:rFonts w:hint="default" w:ascii="Wingdings" w:hAnsi="Wingdings"/>
      </w:rPr>
    </w:lvl>
    <w:lvl w:ilvl="1" w:tplc="08090001">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8"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1E11E37"/>
    <w:multiLevelType w:val="hybridMultilevel"/>
    <w:tmpl w:val="163437E0"/>
    <w:lvl w:ilvl="0" w:tplc="04090001">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A946AD"/>
    <w:multiLevelType w:val="hybridMultilevel"/>
    <w:tmpl w:val="40682462"/>
    <w:lvl w:ilvl="0" w:tplc="11703DA2">
      <w:start w:val="1"/>
      <w:numFmt w:val="bullet"/>
      <w:lvlText w:val="•"/>
      <w:lvlJc w:val="left"/>
      <w:pPr>
        <w:ind w:left="840" w:hanging="420"/>
      </w:pPr>
      <w:rPr>
        <w:rFonts w:hint="default" w:ascii="Arial" w:hAnsi="Arial" w:cs="Times New Roman"/>
        <w:sz w:val="40"/>
        <w:szCs w:val="40"/>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num w:numId="1">
    <w:abstractNumId w:val="13"/>
  </w:num>
  <w:num w:numId="2">
    <w:abstractNumId w:val="5"/>
  </w:num>
  <w:num w:numId="3">
    <w:abstractNumId w:val="1"/>
  </w:num>
  <w:num w:numId="4">
    <w:abstractNumId w:val="21"/>
  </w:num>
  <w:num w:numId="5">
    <w:abstractNumId w:val="12"/>
  </w:num>
  <w:num w:numId="6">
    <w:abstractNumId w:val="22"/>
  </w:num>
  <w:num w:numId="7">
    <w:abstractNumId w:val="7"/>
  </w:num>
  <w:num w:numId="8">
    <w:abstractNumId w:val="8"/>
  </w:num>
  <w:num w:numId="9">
    <w:abstractNumId w:val="6"/>
  </w:num>
  <w:num w:numId="10">
    <w:abstractNumId w:val="2"/>
  </w:num>
  <w:num w:numId="11">
    <w:abstractNumId w:val="22"/>
  </w:num>
  <w:num w:numId="12">
    <w:abstractNumId w:val="4"/>
  </w:num>
  <w:num w:numId="13">
    <w:abstractNumId w:val="1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5"/>
  </w:num>
  <w:num w:numId="22">
    <w:abstractNumId w:val="16"/>
  </w:num>
  <w:num w:numId="23">
    <w:abstractNumId w:val="5"/>
  </w:num>
  <w:num w:numId="24">
    <w:abstractNumId w:val="5"/>
  </w:num>
  <w:num w:numId="25">
    <w:abstractNumId w:val="5"/>
  </w:num>
  <w:num w:numId="26">
    <w:abstractNumId w:val="5"/>
  </w:num>
  <w:num w:numId="27">
    <w:abstractNumId w:val="9"/>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7"/>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232"/>
    <w:rsid w:val="00277AA2"/>
    <w:rsid w:val="00277AF4"/>
    <w:rsid w:val="00277D11"/>
    <w:rsid w:val="002802FF"/>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ADB"/>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A00E9"/>
    <w:rsid w:val="004A01E0"/>
    <w:rsid w:val="004A0A8D"/>
    <w:rsid w:val="004A0C24"/>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7E6"/>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2E06"/>
    <w:rsid w:val="005634FE"/>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E39"/>
    <w:rsid w:val="007472AE"/>
    <w:rsid w:val="00747586"/>
    <w:rsid w:val="00747775"/>
    <w:rsid w:val="007477A5"/>
    <w:rsid w:val="00747841"/>
    <w:rsid w:val="00747AC6"/>
    <w:rsid w:val="00747B02"/>
    <w:rsid w:val="00747D6A"/>
    <w:rsid w:val="00747E45"/>
    <w:rsid w:val="00747F9E"/>
    <w:rsid w:val="00750A6F"/>
    <w:rsid w:val="0075115D"/>
    <w:rsid w:val="00751A33"/>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3B3B"/>
    <w:rsid w:val="009246B0"/>
    <w:rsid w:val="00924E81"/>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20A69"/>
    <w:rsid w:val="00A20F0E"/>
    <w:rsid w:val="00A2186A"/>
    <w:rsid w:val="00A22097"/>
    <w:rsid w:val="00A220AA"/>
    <w:rsid w:val="00A220F3"/>
    <w:rsid w:val="00A2214A"/>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CE644D"/>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260FE8"/>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5F65D"/>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1383C1"/>
    <w:rsid w:val="38263F55"/>
    <w:rsid w:val="38536CB9"/>
    <w:rsid w:val="3858373F"/>
    <w:rsid w:val="38675149"/>
    <w:rsid w:val="38928D96"/>
    <w:rsid w:val="38BBE8E1"/>
    <w:rsid w:val="38CE82B1"/>
    <w:rsid w:val="39264244"/>
    <w:rsid w:val="3930856D"/>
    <w:rsid w:val="39E1AA5C"/>
    <w:rsid w:val="3A286B51"/>
    <w:rsid w:val="3AA108E4"/>
    <w:rsid w:val="3AE907FD"/>
    <w:rsid w:val="3AF7F83A"/>
    <w:rsid w:val="3B2DC235"/>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17A3B5"/>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29BD8"/>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0D84F3"/>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ABC79B"/>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08780D"/>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27AAD2"/>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4"/>
      </w:numPr>
    </w:pPr>
  </w:style>
  <w:style w:type="paragraph" w:styleId="Observation" w:customStyle="1">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7"/>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styleId="THChar" w:customStyle="1">
    <w:name w:val="TH Char"/>
    <w:link w:val="TH"/>
    <w:qFormat/>
    <w:locked/>
    <w:rsid w:val="00775849"/>
    <w:rPr>
      <w:rFonts w:ascii="Arial" w:hAnsi="Arial" w:eastAsia="Times New Roman" w:cs="Times New Roman"/>
      <w:b/>
      <w:sz w:val="20"/>
      <w:szCs w:val="20"/>
      <w:lang w:val="en-GB"/>
    </w:rPr>
  </w:style>
  <w:style w:type="paragraph" w:styleId="TH" w:customStyle="1">
    <w:name w:val="TH"/>
    <w:basedOn w:val="Normal"/>
    <w:link w:val="THChar"/>
    <w:qFormat/>
    <w:rsid w:val="00775849"/>
    <w:pPr>
      <w:keepNext/>
      <w:keepLines/>
      <w:spacing w:before="60" w:after="180"/>
      <w:jc w:val="center"/>
    </w:pPr>
    <w:rPr>
      <w:rFonts w:ascii="Arial" w:hAnsi="Arial" w:eastAsia="Times New Roman"/>
      <w:b/>
    </w:rPr>
  </w:style>
  <w:style w:type="paragraph" w:styleId="StateHead" w:customStyle="1">
    <w:name w:val="State Head"/>
    <w:basedOn w:val="Normal"/>
    <w:autoRedefine/>
    <w:rsid w:val="00EE2B6F"/>
    <w:pPr>
      <w:keepNext/>
      <w:numPr>
        <w:numId w:val="10"/>
      </w:numPr>
      <w:spacing w:before="240"/>
      <w:jc w:val="both"/>
    </w:pPr>
    <w:rPr>
      <w:rFonts w:ascii="Arial" w:hAnsi="Arial"/>
      <w:b/>
      <w:sz w:val="24"/>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customXml" Target="../customXml/item3.xml" Id="rId3" /><Relationship Type="http://schemas.microsoft.com/office/2020/10/relationships/intelligence" Target="intelligence2.xml" Id="rId47" /><Relationship Type="http://schemas.openxmlformats.org/officeDocument/2006/relationships/settings" Target="settings.xml" Id="rId7" /><Relationship Type="http://schemas.openxmlformats.org/officeDocument/2006/relationships/image" Target="media/image2.png"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EE5D8056-8475-4351-BFC4-BD2E649CD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2B20D-01F7-4C03-B55B-BD0D76525C09}">
  <ds:schemaRef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084f5cea-6fba-4ec7-8c9f-c5d672ce6ecd"/>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shrinivas bhat</dc:creator>
  <keywords/>
  <dc:description/>
  <lastModifiedBy>Girish Chandra Tripathi</lastModifiedBy>
  <revision>830</revision>
  <lastPrinted>2024-09-30T13:27:00.0000000Z</lastPrinted>
  <dcterms:created xsi:type="dcterms:W3CDTF">2024-07-25T23:24:00.0000000Z</dcterms:created>
  <dcterms:modified xsi:type="dcterms:W3CDTF">2025-05-09T05:36:23.6849880Z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